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1.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1AC10" w14:textId="1754A459" w:rsidR="000A0B39" w:rsidRPr="00A365AF" w:rsidRDefault="00A365AF" w:rsidP="00A365AF">
      <w:pPr>
        <w:jc w:val="center"/>
        <w:rPr>
          <w:rFonts w:ascii="Times New Roman" w:hAnsi="Times New Roman" w:cs="Times New Roman"/>
          <w:b/>
          <w:bCs/>
          <w:sz w:val="28"/>
          <w:szCs w:val="28"/>
        </w:rPr>
      </w:pPr>
      <w:r w:rsidRPr="00A365AF">
        <w:rPr>
          <w:rFonts w:ascii="Times New Roman" w:hAnsi="Times New Roman" w:cs="Times New Roman"/>
          <w:b/>
          <w:bCs/>
          <w:sz w:val="28"/>
          <w:szCs w:val="28"/>
        </w:rPr>
        <w:t>Институт народнохозяйственного прогнозирования РАН</w:t>
      </w:r>
    </w:p>
    <w:p w14:paraId="40FFAA6A" w14:textId="4E22FCCC" w:rsidR="00A365AF" w:rsidRDefault="00A365AF">
      <w:pPr>
        <w:rPr>
          <w:b/>
          <w:bCs/>
        </w:rPr>
      </w:pPr>
    </w:p>
    <w:p w14:paraId="2F48EF8F" w14:textId="1C1B0570" w:rsidR="00A365AF" w:rsidRDefault="00A365AF">
      <w:pPr>
        <w:rPr>
          <w:b/>
          <w:bCs/>
        </w:rPr>
      </w:pPr>
    </w:p>
    <w:p w14:paraId="53AC4DE9" w14:textId="1435D4A4" w:rsidR="00A365AF" w:rsidRDefault="00A365AF">
      <w:pPr>
        <w:rPr>
          <w:b/>
          <w:bCs/>
        </w:rPr>
      </w:pPr>
    </w:p>
    <w:p w14:paraId="702B47C1" w14:textId="476CAF73" w:rsidR="00A365AF" w:rsidRDefault="00A365AF">
      <w:pPr>
        <w:rPr>
          <w:b/>
          <w:bCs/>
        </w:rPr>
      </w:pPr>
    </w:p>
    <w:p w14:paraId="2F939DD4" w14:textId="4D1A99B1" w:rsidR="00A365AF" w:rsidRDefault="00A365AF">
      <w:pPr>
        <w:rPr>
          <w:b/>
          <w:bCs/>
        </w:rPr>
      </w:pPr>
    </w:p>
    <w:p w14:paraId="108706AD" w14:textId="2717D97D" w:rsidR="00A365AF" w:rsidRDefault="00A365AF">
      <w:pPr>
        <w:rPr>
          <w:b/>
          <w:bCs/>
        </w:rPr>
      </w:pPr>
    </w:p>
    <w:p w14:paraId="58FF648E" w14:textId="58C174C0" w:rsidR="00A365AF" w:rsidRDefault="00A365AF">
      <w:pPr>
        <w:rPr>
          <w:b/>
          <w:bCs/>
        </w:rPr>
      </w:pPr>
    </w:p>
    <w:p w14:paraId="10A8C970" w14:textId="36447F71" w:rsidR="00A365AF" w:rsidRDefault="00A365AF">
      <w:pPr>
        <w:rPr>
          <w:b/>
          <w:bCs/>
        </w:rPr>
      </w:pPr>
    </w:p>
    <w:p w14:paraId="7CD9DCE7" w14:textId="4CFC755D" w:rsidR="00A365AF" w:rsidRDefault="00A365AF">
      <w:pPr>
        <w:rPr>
          <w:b/>
          <w:bCs/>
        </w:rPr>
      </w:pPr>
    </w:p>
    <w:p w14:paraId="0C2F5CE9" w14:textId="77777777" w:rsidR="00A365AF" w:rsidRDefault="00A365AF">
      <w:pPr>
        <w:rPr>
          <w:b/>
          <w:bCs/>
        </w:rPr>
      </w:pPr>
    </w:p>
    <w:p w14:paraId="1F02E64F" w14:textId="17909BAA" w:rsidR="00A365AF" w:rsidRPr="00A365AF" w:rsidRDefault="00A365AF" w:rsidP="00A365AF">
      <w:pPr>
        <w:jc w:val="center"/>
        <w:rPr>
          <w:rFonts w:ascii="Times New Roman" w:hAnsi="Times New Roman" w:cs="Times New Roman"/>
          <w:b/>
          <w:bCs/>
          <w:sz w:val="32"/>
          <w:szCs w:val="32"/>
        </w:rPr>
      </w:pPr>
      <w:r w:rsidRPr="00A365AF">
        <w:rPr>
          <w:rFonts w:ascii="Times New Roman" w:hAnsi="Times New Roman" w:cs="Times New Roman"/>
          <w:b/>
          <w:bCs/>
          <w:sz w:val="32"/>
          <w:szCs w:val="32"/>
        </w:rPr>
        <w:t>Узловые точки социальной политики</w:t>
      </w:r>
    </w:p>
    <w:p w14:paraId="30FE0BF5" w14:textId="1D1D837B" w:rsidR="00A365AF" w:rsidRDefault="00A365AF">
      <w:pPr>
        <w:rPr>
          <w:b/>
          <w:bCs/>
        </w:rPr>
      </w:pPr>
    </w:p>
    <w:p w14:paraId="1049D87C" w14:textId="7C02B581" w:rsidR="00A365AF" w:rsidRDefault="00A365AF">
      <w:pPr>
        <w:rPr>
          <w:b/>
          <w:bCs/>
        </w:rPr>
      </w:pPr>
    </w:p>
    <w:p w14:paraId="0EFA195E" w14:textId="77777777" w:rsidR="00A365AF" w:rsidRDefault="00A365AF"/>
    <w:p w14:paraId="197E14E0" w14:textId="77777777" w:rsidR="000A0B39" w:rsidRDefault="000A0B39" w:rsidP="007220B5">
      <w:pPr>
        <w:spacing w:line="360" w:lineRule="auto"/>
        <w:ind w:firstLine="709"/>
        <w:jc w:val="both"/>
        <w:rPr>
          <w:rFonts w:ascii="Times New Roman" w:hAnsi="Times New Roman" w:cs="Times New Roman"/>
          <w:sz w:val="24"/>
          <w:szCs w:val="24"/>
        </w:rPr>
      </w:pPr>
    </w:p>
    <w:p w14:paraId="14F399CA" w14:textId="77777777" w:rsidR="000A0B39" w:rsidRDefault="000A0B39" w:rsidP="007220B5">
      <w:pPr>
        <w:spacing w:line="360" w:lineRule="auto"/>
        <w:ind w:firstLine="709"/>
        <w:jc w:val="both"/>
        <w:rPr>
          <w:rFonts w:ascii="Times New Roman" w:hAnsi="Times New Roman" w:cs="Times New Roman"/>
          <w:sz w:val="24"/>
          <w:szCs w:val="24"/>
        </w:rPr>
      </w:pPr>
    </w:p>
    <w:p w14:paraId="605F87A3" w14:textId="77777777" w:rsidR="000A0B39" w:rsidRDefault="000A0B39" w:rsidP="007220B5">
      <w:pPr>
        <w:spacing w:line="360" w:lineRule="auto"/>
        <w:ind w:firstLine="709"/>
        <w:jc w:val="both"/>
        <w:rPr>
          <w:rFonts w:ascii="Times New Roman" w:hAnsi="Times New Roman" w:cs="Times New Roman"/>
          <w:sz w:val="24"/>
          <w:szCs w:val="24"/>
        </w:rPr>
      </w:pPr>
    </w:p>
    <w:p w14:paraId="4BE36D54" w14:textId="77777777" w:rsidR="000A0B39" w:rsidRDefault="000A0B39" w:rsidP="007220B5">
      <w:pPr>
        <w:spacing w:line="360" w:lineRule="auto"/>
        <w:ind w:firstLine="709"/>
        <w:jc w:val="both"/>
        <w:rPr>
          <w:rFonts w:ascii="Times New Roman" w:hAnsi="Times New Roman" w:cs="Times New Roman"/>
          <w:sz w:val="24"/>
          <w:szCs w:val="24"/>
        </w:rPr>
      </w:pPr>
    </w:p>
    <w:p w14:paraId="6EE605AE" w14:textId="77777777" w:rsidR="000A0B39" w:rsidRDefault="000A0B39" w:rsidP="007220B5">
      <w:pPr>
        <w:spacing w:line="360" w:lineRule="auto"/>
        <w:ind w:firstLine="709"/>
        <w:jc w:val="both"/>
        <w:rPr>
          <w:rFonts w:ascii="Times New Roman" w:hAnsi="Times New Roman" w:cs="Times New Roman"/>
          <w:sz w:val="24"/>
          <w:szCs w:val="24"/>
        </w:rPr>
      </w:pPr>
    </w:p>
    <w:p w14:paraId="0974E012" w14:textId="5ED2F8EE" w:rsidR="000A0B39" w:rsidRDefault="000A0B39" w:rsidP="007220B5">
      <w:pPr>
        <w:spacing w:line="360" w:lineRule="auto"/>
        <w:ind w:firstLine="709"/>
        <w:jc w:val="both"/>
        <w:rPr>
          <w:rFonts w:ascii="Times New Roman" w:hAnsi="Times New Roman" w:cs="Times New Roman"/>
          <w:sz w:val="24"/>
          <w:szCs w:val="24"/>
        </w:rPr>
      </w:pPr>
    </w:p>
    <w:p w14:paraId="5EA4A4D7" w14:textId="6D54B8E6" w:rsidR="00A365AF" w:rsidRDefault="00A365AF" w:rsidP="007220B5">
      <w:pPr>
        <w:spacing w:line="360" w:lineRule="auto"/>
        <w:ind w:firstLine="709"/>
        <w:jc w:val="both"/>
        <w:rPr>
          <w:rFonts w:ascii="Times New Roman" w:hAnsi="Times New Roman" w:cs="Times New Roman"/>
          <w:sz w:val="24"/>
          <w:szCs w:val="24"/>
        </w:rPr>
      </w:pPr>
    </w:p>
    <w:p w14:paraId="664645DD" w14:textId="30F3284C" w:rsidR="00A365AF" w:rsidRDefault="00A365AF" w:rsidP="007220B5">
      <w:pPr>
        <w:spacing w:line="360" w:lineRule="auto"/>
        <w:ind w:firstLine="709"/>
        <w:jc w:val="both"/>
        <w:rPr>
          <w:rFonts w:ascii="Times New Roman" w:hAnsi="Times New Roman" w:cs="Times New Roman"/>
          <w:sz w:val="24"/>
          <w:szCs w:val="24"/>
        </w:rPr>
      </w:pPr>
    </w:p>
    <w:p w14:paraId="7B5DAC7E" w14:textId="53AF6984" w:rsidR="00A365AF" w:rsidRDefault="00A365AF" w:rsidP="007220B5">
      <w:pPr>
        <w:spacing w:line="360" w:lineRule="auto"/>
        <w:ind w:firstLine="709"/>
        <w:jc w:val="both"/>
        <w:rPr>
          <w:rFonts w:ascii="Times New Roman" w:hAnsi="Times New Roman" w:cs="Times New Roman"/>
          <w:sz w:val="24"/>
          <w:szCs w:val="24"/>
        </w:rPr>
      </w:pPr>
    </w:p>
    <w:p w14:paraId="0B6FBDA8" w14:textId="58CB7B32" w:rsidR="00A365AF" w:rsidRDefault="00A365AF" w:rsidP="007220B5">
      <w:pPr>
        <w:spacing w:line="360" w:lineRule="auto"/>
        <w:ind w:firstLine="709"/>
        <w:jc w:val="both"/>
        <w:rPr>
          <w:rFonts w:ascii="Times New Roman" w:hAnsi="Times New Roman" w:cs="Times New Roman"/>
          <w:sz w:val="24"/>
          <w:szCs w:val="24"/>
        </w:rPr>
      </w:pPr>
    </w:p>
    <w:p w14:paraId="11420A9A" w14:textId="2D9D7CD4" w:rsidR="00A365AF" w:rsidRDefault="00A365AF" w:rsidP="007220B5">
      <w:pPr>
        <w:spacing w:line="360" w:lineRule="auto"/>
        <w:ind w:firstLine="709"/>
        <w:jc w:val="both"/>
        <w:rPr>
          <w:rFonts w:ascii="Times New Roman" w:hAnsi="Times New Roman" w:cs="Times New Roman"/>
          <w:sz w:val="24"/>
          <w:szCs w:val="24"/>
        </w:rPr>
      </w:pPr>
    </w:p>
    <w:p w14:paraId="7ED5CF39" w14:textId="68B8625B" w:rsidR="00A365AF" w:rsidRDefault="00A365AF" w:rsidP="00A365AF">
      <w:pPr>
        <w:spacing w:line="360" w:lineRule="auto"/>
        <w:ind w:firstLine="709"/>
        <w:jc w:val="center"/>
        <w:rPr>
          <w:rFonts w:ascii="Times New Roman" w:hAnsi="Times New Roman" w:cs="Times New Roman"/>
          <w:sz w:val="24"/>
          <w:szCs w:val="24"/>
        </w:rPr>
      </w:pPr>
      <w:r>
        <w:rPr>
          <w:rFonts w:ascii="Times New Roman" w:hAnsi="Times New Roman" w:cs="Times New Roman"/>
          <w:sz w:val="24"/>
          <w:szCs w:val="24"/>
        </w:rPr>
        <w:t>Москва, 2021</w:t>
      </w:r>
    </w:p>
    <w:p w14:paraId="63C4CFC1" w14:textId="062577BE" w:rsidR="000A0B39" w:rsidRDefault="000A0B39" w:rsidP="007220B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7DB424BE" w14:textId="77777777" w:rsidR="00A365AF" w:rsidRDefault="00A365AF" w:rsidP="00A365AF">
      <w:pPr>
        <w:pStyle w:val="af9"/>
      </w:pPr>
      <w:bookmarkStart w:id="0" w:name="_Toc67417865"/>
      <w:r>
        <w:lastRenderedPageBreak/>
        <w:t>Оглавление</w:t>
      </w:r>
    </w:p>
    <w:p w14:paraId="02F27E18" w14:textId="77777777" w:rsidR="00A365AF" w:rsidRDefault="00A365AF" w:rsidP="00A365AF">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67417865" w:history="1">
        <w:r w:rsidRPr="00D34CC3">
          <w:rPr>
            <w:rStyle w:val="af"/>
            <w:rFonts w:ascii="Times New Roman" w:hAnsi="Times New Roman" w:cs="Times New Roman"/>
            <w:noProof/>
          </w:rPr>
          <w:t>Введение</w:t>
        </w:r>
        <w:r>
          <w:rPr>
            <w:noProof/>
            <w:webHidden/>
          </w:rPr>
          <w:tab/>
        </w:r>
        <w:r>
          <w:rPr>
            <w:noProof/>
            <w:webHidden/>
          </w:rPr>
          <w:fldChar w:fldCharType="begin"/>
        </w:r>
        <w:r>
          <w:rPr>
            <w:noProof/>
            <w:webHidden/>
          </w:rPr>
          <w:instrText xml:space="preserve"> PAGEREF _Toc67417865 \h </w:instrText>
        </w:r>
        <w:r>
          <w:rPr>
            <w:noProof/>
            <w:webHidden/>
          </w:rPr>
        </w:r>
        <w:r>
          <w:rPr>
            <w:noProof/>
            <w:webHidden/>
          </w:rPr>
          <w:fldChar w:fldCharType="separate"/>
        </w:r>
        <w:r>
          <w:rPr>
            <w:noProof/>
            <w:webHidden/>
          </w:rPr>
          <w:t>2</w:t>
        </w:r>
        <w:r>
          <w:rPr>
            <w:noProof/>
            <w:webHidden/>
          </w:rPr>
          <w:fldChar w:fldCharType="end"/>
        </w:r>
      </w:hyperlink>
    </w:p>
    <w:p w14:paraId="2BDC15F1" w14:textId="77777777" w:rsidR="00A365AF" w:rsidRDefault="00A365AF" w:rsidP="00A365AF">
      <w:pPr>
        <w:pStyle w:val="11"/>
        <w:tabs>
          <w:tab w:val="left" w:pos="440"/>
          <w:tab w:val="right" w:leader="dot" w:pos="9345"/>
        </w:tabs>
        <w:rPr>
          <w:rFonts w:eastAsiaTheme="minorEastAsia"/>
          <w:noProof/>
          <w:lang w:eastAsia="ru-RU"/>
        </w:rPr>
      </w:pPr>
      <w:hyperlink w:anchor="_Toc67417866" w:history="1">
        <w:r w:rsidRPr="00D34CC3">
          <w:rPr>
            <w:rStyle w:val="af"/>
            <w:rFonts w:ascii="Times New Roman" w:hAnsi="Times New Roman" w:cs="Times New Roman"/>
            <w:noProof/>
          </w:rPr>
          <w:t>1.</w:t>
        </w:r>
        <w:r>
          <w:rPr>
            <w:rFonts w:eastAsiaTheme="minorEastAsia"/>
            <w:noProof/>
            <w:lang w:eastAsia="ru-RU"/>
          </w:rPr>
          <w:tab/>
        </w:r>
        <w:r w:rsidRPr="00D34CC3">
          <w:rPr>
            <w:rStyle w:val="af"/>
            <w:rFonts w:ascii="Times New Roman" w:hAnsi="Times New Roman" w:cs="Times New Roman"/>
            <w:noProof/>
          </w:rPr>
          <w:t>Ретроспективный анализ изменения уровня и качества жизни населения</w:t>
        </w:r>
        <w:r>
          <w:rPr>
            <w:noProof/>
            <w:webHidden/>
          </w:rPr>
          <w:tab/>
        </w:r>
        <w:r>
          <w:rPr>
            <w:noProof/>
            <w:webHidden/>
          </w:rPr>
          <w:fldChar w:fldCharType="begin"/>
        </w:r>
        <w:r>
          <w:rPr>
            <w:noProof/>
            <w:webHidden/>
          </w:rPr>
          <w:instrText xml:space="preserve"> PAGEREF _Toc67417866 \h </w:instrText>
        </w:r>
        <w:r>
          <w:rPr>
            <w:noProof/>
            <w:webHidden/>
          </w:rPr>
        </w:r>
        <w:r>
          <w:rPr>
            <w:noProof/>
            <w:webHidden/>
          </w:rPr>
          <w:fldChar w:fldCharType="separate"/>
        </w:r>
        <w:r>
          <w:rPr>
            <w:noProof/>
            <w:webHidden/>
          </w:rPr>
          <w:t>3</w:t>
        </w:r>
        <w:r>
          <w:rPr>
            <w:noProof/>
            <w:webHidden/>
          </w:rPr>
          <w:fldChar w:fldCharType="end"/>
        </w:r>
      </w:hyperlink>
    </w:p>
    <w:p w14:paraId="3542935F" w14:textId="77777777" w:rsidR="00A365AF" w:rsidRDefault="00A365AF" w:rsidP="00A365AF">
      <w:pPr>
        <w:pStyle w:val="11"/>
        <w:tabs>
          <w:tab w:val="left" w:pos="440"/>
          <w:tab w:val="right" w:leader="dot" w:pos="9345"/>
        </w:tabs>
        <w:rPr>
          <w:rFonts w:eastAsiaTheme="minorEastAsia"/>
          <w:noProof/>
          <w:lang w:eastAsia="ru-RU"/>
        </w:rPr>
      </w:pPr>
      <w:hyperlink w:anchor="_Toc67417867" w:history="1">
        <w:r w:rsidRPr="00D34CC3">
          <w:rPr>
            <w:rStyle w:val="af"/>
            <w:rFonts w:ascii="Times New Roman" w:hAnsi="Times New Roman" w:cs="Times New Roman"/>
            <w:noProof/>
          </w:rPr>
          <w:t>2.</w:t>
        </w:r>
        <w:r>
          <w:rPr>
            <w:rFonts w:eastAsiaTheme="minorEastAsia"/>
            <w:noProof/>
            <w:lang w:eastAsia="ru-RU"/>
          </w:rPr>
          <w:tab/>
        </w:r>
        <w:r w:rsidRPr="00D34CC3">
          <w:rPr>
            <w:rStyle w:val="af"/>
            <w:rFonts w:ascii="Times New Roman" w:hAnsi="Times New Roman" w:cs="Times New Roman"/>
            <w:noProof/>
          </w:rPr>
          <w:t>Целевые ориентиры социальной политики и «общественный договор»</w:t>
        </w:r>
        <w:r>
          <w:rPr>
            <w:noProof/>
            <w:webHidden/>
          </w:rPr>
          <w:tab/>
        </w:r>
        <w:r>
          <w:rPr>
            <w:noProof/>
            <w:webHidden/>
          </w:rPr>
          <w:fldChar w:fldCharType="begin"/>
        </w:r>
        <w:r>
          <w:rPr>
            <w:noProof/>
            <w:webHidden/>
          </w:rPr>
          <w:instrText xml:space="preserve"> PAGEREF _Toc67417867 \h </w:instrText>
        </w:r>
        <w:r>
          <w:rPr>
            <w:noProof/>
            <w:webHidden/>
          </w:rPr>
        </w:r>
        <w:r>
          <w:rPr>
            <w:noProof/>
            <w:webHidden/>
          </w:rPr>
          <w:fldChar w:fldCharType="separate"/>
        </w:r>
        <w:r>
          <w:rPr>
            <w:noProof/>
            <w:webHidden/>
          </w:rPr>
          <w:t>11</w:t>
        </w:r>
        <w:r>
          <w:rPr>
            <w:noProof/>
            <w:webHidden/>
          </w:rPr>
          <w:fldChar w:fldCharType="end"/>
        </w:r>
      </w:hyperlink>
    </w:p>
    <w:p w14:paraId="561C85AB" w14:textId="77777777" w:rsidR="00A365AF" w:rsidRDefault="00A365AF" w:rsidP="00A365AF">
      <w:pPr>
        <w:pStyle w:val="11"/>
        <w:tabs>
          <w:tab w:val="left" w:pos="440"/>
          <w:tab w:val="right" w:leader="dot" w:pos="9345"/>
        </w:tabs>
        <w:rPr>
          <w:rFonts w:eastAsiaTheme="minorEastAsia"/>
          <w:noProof/>
          <w:lang w:eastAsia="ru-RU"/>
        </w:rPr>
      </w:pPr>
      <w:hyperlink w:anchor="_Toc67417868" w:history="1">
        <w:r w:rsidRPr="00D34CC3">
          <w:rPr>
            <w:rStyle w:val="af"/>
            <w:noProof/>
          </w:rPr>
          <w:t>3.</w:t>
        </w:r>
        <w:r>
          <w:rPr>
            <w:rFonts w:eastAsiaTheme="minorEastAsia"/>
            <w:noProof/>
            <w:lang w:eastAsia="ru-RU"/>
          </w:rPr>
          <w:tab/>
        </w:r>
        <w:r w:rsidRPr="00D34CC3">
          <w:rPr>
            <w:rStyle w:val="af"/>
            <w:rFonts w:ascii="Times New Roman" w:hAnsi="Times New Roman"/>
            <w:noProof/>
          </w:rPr>
          <w:t xml:space="preserve">Развитие человеческого </w:t>
        </w:r>
        <w:r w:rsidRPr="00D34CC3">
          <w:rPr>
            <w:rStyle w:val="af"/>
            <w:rFonts w:ascii="Times New Roman" w:eastAsia="Noto Serif CJK SC" w:hAnsi="Times New Roman" w:cs="Lohit Devanagari"/>
            <w:noProof/>
            <w:kern w:val="2"/>
            <w:lang w:eastAsia="zh-CN" w:bidi="hi-IN"/>
          </w:rPr>
          <w:t>потенциала</w:t>
        </w:r>
        <w:r w:rsidRPr="00D34CC3">
          <w:rPr>
            <w:rStyle w:val="af"/>
            <w:rFonts w:ascii="Times New Roman" w:hAnsi="Times New Roman"/>
            <w:noProof/>
          </w:rPr>
          <w:t xml:space="preserve"> и экономический рост</w:t>
        </w:r>
        <w:r>
          <w:rPr>
            <w:noProof/>
            <w:webHidden/>
          </w:rPr>
          <w:tab/>
        </w:r>
        <w:r>
          <w:rPr>
            <w:noProof/>
            <w:webHidden/>
          </w:rPr>
          <w:fldChar w:fldCharType="begin"/>
        </w:r>
        <w:r>
          <w:rPr>
            <w:noProof/>
            <w:webHidden/>
          </w:rPr>
          <w:instrText xml:space="preserve"> PAGEREF _Toc67417868 \h </w:instrText>
        </w:r>
        <w:r>
          <w:rPr>
            <w:noProof/>
            <w:webHidden/>
          </w:rPr>
        </w:r>
        <w:r>
          <w:rPr>
            <w:noProof/>
            <w:webHidden/>
          </w:rPr>
          <w:fldChar w:fldCharType="separate"/>
        </w:r>
        <w:r>
          <w:rPr>
            <w:noProof/>
            <w:webHidden/>
          </w:rPr>
          <w:t>17</w:t>
        </w:r>
        <w:r>
          <w:rPr>
            <w:noProof/>
            <w:webHidden/>
          </w:rPr>
          <w:fldChar w:fldCharType="end"/>
        </w:r>
      </w:hyperlink>
    </w:p>
    <w:p w14:paraId="1F40C904" w14:textId="77777777" w:rsidR="00A365AF" w:rsidRDefault="00A365AF" w:rsidP="00A365AF">
      <w:pPr>
        <w:pStyle w:val="11"/>
        <w:tabs>
          <w:tab w:val="left" w:pos="440"/>
          <w:tab w:val="right" w:leader="dot" w:pos="9345"/>
        </w:tabs>
        <w:rPr>
          <w:rFonts w:eastAsiaTheme="minorEastAsia"/>
          <w:noProof/>
          <w:lang w:eastAsia="ru-RU"/>
        </w:rPr>
      </w:pPr>
      <w:hyperlink w:anchor="_Toc67417869" w:history="1">
        <w:r w:rsidRPr="00D34CC3">
          <w:rPr>
            <w:rStyle w:val="af"/>
            <w:rFonts w:ascii="Times New Roman" w:hAnsi="Times New Roman" w:cs="Times New Roman"/>
            <w:noProof/>
            <w:lang w:eastAsia="ru-RU"/>
          </w:rPr>
          <w:t>4.</w:t>
        </w:r>
        <w:r>
          <w:rPr>
            <w:rFonts w:eastAsiaTheme="minorEastAsia"/>
            <w:noProof/>
            <w:lang w:eastAsia="ru-RU"/>
          </w:rPr>
          <w:tab/>
        </w:r>
        <w:r w:rsidRPr="00D34CC3">
          <w:rPr>
            <w:rStyle w:val="af"/>
            <w:rFonts w:ascii="Times New Roman" w:hAnsi="Times New Roman" w:cs="Times New Roman"/>
            <w:noProof/>
            <w:lang w:eastAsia="ru-RU"/>
          </w:rPr>
          <w:t>Социальные расходы бюджетной системы</w:t>
        </w:r>
        <w:r>
          <w:rPr>
            <w:noProof/>
            <w:webHidden/>
          </w:rPr>
          <w:tab/>
        </w:r>
        <w:r>
          <w:rPr>
            <w:noProof/>
            <w:webHidden/>
          </w:rPr>
          <w:fldChar w:fldCharType="begin"/>
        </w:r>
        <w:r>
          <w:rPr>
            <w:noProof/>
            <w:webHidden/>
          </w:rPr>
          <w:instrText xml:space="preserve"> PAGEREF _Toc67417869 \h </w:instrText>
        </w:r>
        <w:r>
          <w:rPr>
            <w:noProof/>
            <w:webHidden/>
          </w:rPr>
        </w:r>
        <w:r>
          <w:rPr>
            <w:noProof/>
            <w:webHidden/>
          </w:rPr>
          <w:fldChar w:fldCharType="separate"/>
        </w:r>
        <w:r>
          <w:rPr>
            <w:noProof/>
            <w:webHidden/>
          </w:rPr>
          <w:t>32</w:t>
        </w:r>
        <w:r>
          <w:rPr>
            <w:noProof/>
            <w:webHidden/>
          </w:rPr>
          <w:fldChar w:fldCharType="end"/>
        </w:r>
      </w:hyperlink>
    </w:p>
    <w:p w14:paraId="136C5468" w14:textId="77777777" w:rsidR="00A365AF" w:rsidRDefault="00A365AF" w:rsidP="00A365AF">
      <w:pPr>
        <w:pStyle w:val="11"/>
        <w:tabs>
          <w:tab w:val="left" w:pos="440"/>
          <w:tab w:val="right" w:leader="dot" w:pos="9345"/>
        </w:tabs>
        <w:rPr>
          <w:rFonts w:eastAsiaTheme="minorEastAsia"/>
          <w:noProof/>
          <w:lang w:eastAsia="ru-RU"/>
        </w:rPr>
      </w:pPr>
      <w:hyperlink w:anchor="_Toc67417870" w:history="1">
        <w:r w:rsidRPr="00D34CC3">
          <w:rPr>
            <w:rStyle w:val="af"/>
            <w:rFonts w:ascii="Times New Roman" w:hAnsi="Times New Roman" w:cs="Times New Roman"/>
            <w:noProof/>
          </w:rPr>
          <w:t>5.</w:t>
        </w:r>
        <w:r>
          <w:rPr>
            <w:rFonts w:eastAsiaTheme="minorEastAsia"/>
            <w:noProof/>
            <w:lang w:eastAsia="ru-RU"/>
          </w:rPr>
          <w:tab/>
        </w:r>
        <w:r w:rsidRPr="00D34CC3">
          <w:rPr>
            <w:rStyle w:val="af"/>
            <w:rFonts w:ascii="Times New Roman" w:hAnsi="Times New Roman" w:cs="Times New Roman"/>
            <w:noProof/>
          </w:rPr>
          <w:t>Эффективность труда и уровень заработной платы</w:t>
        </w:r>
        <w:r>
          <w:rPr>
            <w:noProof/>
            <w:webHidden/>
          </w:rPr>
          <w:tab/>
        </w:r>
        <w:r>
          <w:rPr>
            <w:noProof/>
            <w:webHidden/>
          </w:rPr>
          <w:fldChar w:fldCharType="begin"/>
        </w:r>
        <w:r>
          <w:rPr>
            <w:noProof/>
            <w:webHidden/>
          </w:rPr>
          <w:instrText xml:space="preserve"> PAGEREF _Toc67417870 \h </w:instrText>
        </w:r>
        <w:r>
          <w:rPr>
            <w:noProof/>
            <w:webHidden/>
          </w:rPr>
        </w:r>
        <w:r>
          <w:rPr>
            <w:noProof/>
            <w:webHidden/>
          </w:rPr>
          <w:fldChar w:fldCharType="separate"/>
        </w:r>
        <w:r>
          <w:rPr>
            <w:noProof/>
            <w:webHidden/>
          </w:rPr>
          <w:t>44</w:t>
        </w:r>
        <w:r>
          <w:rPr>
            <w:noProof/>
            <w:webHidden/>
          </w:rPr>
          <w:fldChar w:fldCharType="end"/>
        </w:r>
      </w:hyperlink>
    </w:p>
    <w:p w14:paraId="3DEEC4DE" w14:textId="77777777" w:rsidR="00A365AF" w:rsidRDefault="00A365AF" w:rsidP="00A365AF">
      <w:pPr>
        <w:pStyle w:val="11"/>
        <w:tabs>
          <w:tab w:val="left" w:pos="440"/>
          <w:tab w:val="right" w:leader="dot" w:pos="9345"/>
        </w:tabs>
        <w:rPr>
          <w:rFonts w:eastAsiaTheme="minorEastAsia"/>
          <w:noProof/>
          <w:lang w:eastAsia="ru-RU"/>
        </w:rPr>
      </w:pPr>
      <w:hyperlink w:anchor="_Toc67417871" w:history="1">
        <w:r w:rsidRPr="00D34CC3">
          <w:rPr>
            <w:rStyle w:val="af"/>
            <w:rFonts w:ascii="Times New Roman" w:hAnsi="Times New Roman" w:cs="Times New Roman"/>
            <w:noProof/>
          </w:rPr>
          <w:t>6.</w:t>
        </w:r>
        <w:r>
          <w:rPr>
            <w:rFonts w:eastAsiaTheme="minorEastAsia"/>
            <w:noProof/>
            <w:lang w:eastAsia="ru-RU"/>
          </w:rPr>
          <w:tab/>
        </w:r>
        <w:r w:rsidRPr="00D34CC3">
          <w:rPr>
            <w:rStyle w:val="af"/>
            <w:rFonts w:ascii="Times New Roman" w:hAnsi="Times New Roman" w:cs="Times New Roman"/>
            <w:noProof/>
          </w:rPr>
          <w:t>Гарантированные выплаты населению как инструмент социальной политики</w:t>
        </w:r>
        <w:r>
          <w:rPr>
            <w:noProof/>
            <w:webHidden/>
          </w:rPr>
          <w:tab/>
        </w:r>
        <w:r>
          <w:rPr>
            <w:noProof/>
            <w:webHidden/>
          </w:rPr>
          <w:fldChar w:fldCharType="begin"/>
        </w:r>
        <w:r>
          <w:rPr>
            <w:noProof/>
            <w:webHidden/>
          </w:rPr>
          <w:instrText xml:space="preserve"> PAGEREF _Toc67417871 \h </w:instrText>
        </w:r>
        <w:r>
          <w:rPr>
            <w:noProof/>
            <w:webHidden/>
          </w:rPr>
        </w:r>
        <w:r>
          <w:rPr>
            <w:noProof/>
            <w:webHidden/>
          </w:rPr>
          <w:fldChar w:fldCharType="separate"/>
        </w:r>
        <w:r>
          <w:rPr>
            <w:noProof/>
            <w:webHidden/>
          </w:rPr>
          <w:t>62</w:t>
        </w:r>
        <w:r>
          <w:rPr>
            <w:noProof/>
            <w:webHidden/>
          </w:rPr>
          <w:fldChar w:fldCharType="end"/>
        </w:r>
      </w:hyperlink>
    </w:p>
    <w:p w14:paraId="0C033D23" w14:textId="77777777" w:rsidR="00A365AF" w:rsidRDefault="00A365AF" w:rsidP="00A365AF">
      <w:pPr>
        <w:pStyle w:val="11"/>
        <w:tabs>
          <w:tab w:val="left" w:pos="440"/>
          <w:tab w:val="right" w:leader="dot" w:pos="9345"/>
        </w:tabs>
        <w:rPr>
          <w:rFonts w:eastAsiaTheme="minorEastAsia"/>
          <w:noProof/>
          <w:lang w:eastAsia="ru-RU"/>
        </w:rPr>
      </w:pPr>
      <w:hyperlink w:anchor="_Toc67417872" w:history="1">
        <w:r w:rsidRPr="00D34CC3">
          <w:rPr>
            <w:rStyle w:val="af"/>
            <w:rFonts w:ascii="Times New Roman" w:hAnsi="Times New Roman" w:cs="Times New Roman"/>
            <w:noProof/>
          </w:rPr>
          <w:t>7.</w:t>
        </w:r>
        <w:r>
          <w:rPr>
            <w:rFonts w:eastAsiaTheme="minorEastAsia"/>
            <w:noProof/>
            <w:lang w:eastAsia="ru-RU"/>
          </w:rPr>
          <w:tab/>
        </w:r>
        <w:r w:rsidRPr="00D34CC3">
          <w:rPr>
            <w:rStyle w:val="af"/>
            <w:rFonts w:ascii="Times New Roman" w:hAnsi="Times New Roman" w:cs="Times New Roman"/>
            <w:noProof/>
          </w:rPr>
          <w:t>Межрегиональная дифференциация показателей социального развития</w:t>
        </w:r>
        <w:r>
          <w:rPr>
            <w:noProof/>
            <w:webHidden/>
          </w:rPr>
          <w:tab/>
        </w:r>
        <w:r>
          <w:rPr>
            <w:noProof/>
            <w:webHidden/>
          </w:rPr>
          <w:fldChar w:fldCharType="begin"/>
        </w:r>
        <w:r>
          <w:rPr>
            <w:noProof/>
            <w:webHidden/>
          </w:rPr>
          <w:instrText xml:space="preserve"> PAGEREF _Toc67417872 \h </w:instrText>
        </w:r>
        <w:r>
          <w:rPr>
            <w:noProof/>
            <w:webHidden/>
          </w:rPr>
        </w:r>
        <w:r>
          <w:rPr>
            <w:noProof/>
            <w:webHidden/>
          </w:rPr>
          <w:fldChar w:fldCharType="separate"/>
        </w:r>
        <w:r>
          <w:rPr>
            <w:noProof/>
            <w:webHidden/>
          </w:rPr>
          <w:t>78</w:t>
        </w:r>
        <w:r>
          <w:rPr>
            <w:noProof/>
            <w:webHidden/>
          </w:rPr>
          <w:fldChar w:fldCharType="end"/>
        </w:r>
      </w:hyperlink>
    </w:p>
    <w:p w14:paraId="734D1BF0" w14:textId="77777777" w:rsidR="00A365AF" w:rsidRDefault="00A365AF" w:rsidP="00A365AF">
      <w:pPr>
        <w:pStyle w:val="11"/>
        <w:tabs>
          <w:tab w:val="left" w:pos="440"/>
          <w:tab w:val="right" w:leader="dot" w:pos="9345"/>
        </w:tabs>
        <w:rPr>
          <w:rFonts w:eastAsiaTheme="minorEastAsia"/>
          <w:noProof/>
          <w:lang w:eastAsia="ru-RU"/>
        </w:rPr>
      </w:pPr>
      <w:hyperlink w:anchor="_Toc67417873" w:history="1">
        <w:r w:rsidRPr="00D34CC3">
          <w:rPr>
            <w:rStyle w:val="af"/>
            <w:rFonts w:ascii="Times New Roman" w:hAnsi="Times New Roman" w:cs="Times New Roman"/>
            <w:noProof/>
          </w:rPr>
          <w:t>8.</w:t>
        </w:r>
        <w:r>
          <w:rPr>
            <w:rFonts w:eastAsiaTheme="minorEastAsia"/>
            <w:noProof/>
            <w:lang w:eastAsia="ru-RU"/>
          </w:rPr>
          <w:tab/>
        </w:r>
        <w:r w:rsidRPr="00D34CC3">
          <w:rPr>
            <w:rStyle w:val="af"/>
            <w:rFonts w:ascii="Times New Roman" w:hAnsi="Times New Roman" w:cs="Times New Roman"/>
            <w:noProof/>
          </w:rPr>
          <w:t>Миграция населения и рабочей силы</w:t>
        </w:r>
        <w:r>
          <w:rPr>
            <w:noProof/>
            <w:webHidden/>
          </w:rPr>
          <w:tab/>
        </w:r>
        <w:r>
          <w:rPr>
            <w:noProof/>
            <w:webHidden/>
          </w:rPr>
          <w:fldChar w:fldCharType="begin"/>
        </w:r>
        <w:r>
          <w:rPr>
            <w:noProof/>
            <w:webHidden/>
          </w:rPr>
          <w:instrText xml:space="preserve"> PAGEREF _Toc67417873 \h </w:instrText>
        </w:r>
        <w:r>
          <w:rPr>
            <w:noProof/>
            <w:webHidden/>
          </w:rPr>
        </w:r>
        <w:r>
          <w:rPr>
            <w:noProof/>
            <w:webHidden/>
          </w:rPr>
          <w:fldChar w:fldCharType="separate"/>
        </w:r>
        <w:r>
          <w:rPr>
            <w:noProof/>
            <w:webHidden/>
          </w:rPr>
          <w:t>94</w:t>
        </w:r>
        <w:r>
          <w:rPr>
            <w:noProof/>
            <w:webHidden/>
          </w:rPr>
          <w:fldChar w:fldCharType="end"/>
        </w:r>
      </w:hyperlink>
    </w:p>
    <w:p w14:paraId="7035B72D" w14:textId="77777777" w:rsidR="00A365AF" w:rsidRDefault="00A365AF" w:rsidP="00A365AF">
      <w:pPr>
        <w:pStyle w:val="11"/>
        <w:tabs>
          <w:tab w:val="left" w:pos="440"/>
          <w:tab w:val="right" w:leader="dot" w:pos="9345"/>
        </w:tabs>
        <w:rPr>
          <w:rFonts w:eastAsiaTheme="minorEastAsia"/>
          <w:noProof/>
          <w:lang w:eastAsia="ru-RU"/>
        </w:rPr>
      </w:pPr>
      <w:hyperlink w:anchor="_Toc67417874" w:history="1">
        <w:r w:rsidRPr="00D34CC3">
          <w:rPr>
            <w:rStyle w:val="af"/>
            <w:rFonts w:ascii="Times New Roman" w:hAnsi="Times New Roman" w:cs="Times New Roman"/>
            <w:noProof/>
          </w:rPr>
          <w:t>9.</w:t>
        </w:r>
        <w:r>
          <w:rPr>
            <w:rFonts w:eastAsiaTheme="minorEastAsia"/>
            <w:noProof/>
            <w:lang w:eastAsia="ru-RU"/>
          </w:rPr>
          <w:tab/>
        </w:r>
        <w:r w:rsidRPr="00D34CC3">
          <w:rPr>
            <w:rStyle w:val="af"/>
            <w:rFonts w:ascii="Times New Roman" w:hAnsi="Times New Roman" w:cs="Times New Roman"/>
            <w:noProof/>
          </w:rPr>
          <w:t>Перспективный вклад спроса населения в экономическую динамику</w:t>
        </w:r>
        <w:r>
          <w:rPr>
            <w:noProof/>
            <w:webHidden/>
          </w:rPr>
          <w:tab/>
        </w:r>
        <w:r>
          <w:rPr>
            <w:noProof/>
            <w:webHidden/>
          </w:rPr>
          <w:fldChar w:fldCharType="begin"/>
        </w:r>
        <w:r>
          <w:rPr>
            <w:noProof/>
            <w:webHidden/>
          </w:rPr>
          <w:instrText xml:space="preserve"> PAGEREF _Toc67417874 \h </w:instrText>
        </w:r>
        <w:r>
          <w:rPr>
            <w:noProof/>
            <w:webHidden/>
          </w:rPr>
        </w:r>
        <w:r>
          <w:rPr>
            <w:noProof/>
            <w:webHidden/>
          </w:rPr>
          <w:fldChar w:fldCharType="separate"/>
        </w:r>
        <w:r>
          <w:rPr>
            <w:noProof/>
            <w:webHidden/>
          </w:rPr>
          <w:t>106</w:t>
        </w:r>
        <w:r>
          <w:rPr>
            <w:noProof/>
            <w:webHidden/>
          </w:rPr>
          <w:fldChar w:fldCharType="end"/>
        </w:r>
      </w:hyperlink>
    </w:p>
    <w:p w14:paraId="19FAF28B" w14:textId="2265EBA9" w:rsidR="00A365AF" w:rsidRPr="00A365AF" w:rsidRDefault="00A365AF" w:rsidP="00A365AF">
      <w:pPr>
        <w:pStyle w:val="1"/>
        <w:ind w:left="720"/>
        <w:jc w:val="center"/>
        <w:rPr>
          <w:b w:val="0"/>
          <w:bCs w:val="0"/>
        </w:rPr>
      </w:pPr>
      <w:r>
        <w:rPr>
          <w:b w:val="0"/>
          <w:bCs w:val="0"/>
        </w:rPr>
        <w:fldChar w:fldCharType="end"/>
      </w:r>
      <w:r>
        <w:rPr>
          <w:b w:val="0"/>
          <w:bCs w:val="0"/>
        </w:rPr>
        <w:br w:type="page"/>
      </w:r>
    </w:p>
    <w:p w14:paraId="58A1CDD3" w14:textId="2BABD63C" w:rsidR="00ED40E0" w:rsidRPr="00ED40E0" w:rsidRDefault="00ED40E0" w:rsidP="00114923">
      <w:pPr>
        <w:pStyle w:val="1"/>
        <w:ind w:left="720"/>
        <w:jc w:val="center"/>
        <w:rPr>
          <w:rFonts w:ascii="Times New Roman" w:hAnsi="Times New Roman" w:cs="Times New Roman"/>
          <w:color w:val="auto"/>
        </w:rPr>
      </w:pPr>
      <w:r>
        <w:rPr>
          <w:rFonts w:ascii="Times New Roman" w:hAnsi="Times New Roman" w:cs="Times New Roman"/>
          <w:color w:val="auto"/>
        </w:rPr>
        <w:t>Введение</w:t>
      </w:r>
      <w:bookmarkEnd w:id="0"/>
    </w:p>
    <w:p w14:paraId="5261FA7B" w14:textId="3CDC72CA" w:rsidR="00ED40E0" w:rsidRPr="00114923" w:rsidRDefault="0043374B" w:rsidP="00114923">
      <w:pPr>
        <w:spacing w:before="240" w:line="360" w:lineRule="auto"/>
        <w:ind w:firstLine="567"/>
        <w:jc w:val="both"/>
        <w:rPr>
          <w:rFonts w:ascii="Times New Roman" w:hAnsi="Times New Roman" w:cs="Times New Roman"/>
          <w:sz w:val="28"/>
          <w:szCs w:val="28"/>
        </w:rPr>
      </w:pPr>
      <w:r w:rsidRPr="00114923">
        <w:rPr>
          <w:rFonts w:ascii="Times New Roman" w:hAnsi="Times New Roman" w:cs="Times New Roman"/>
          <w:sz w:val="28"/>
          <w:szCs w:val="28"/>
        </w:rPr>
        <w:t xml:space="preserve">Развитие российской экономики в период после 2013 г. характеризовалось достаточно низкой экономической динамикой </w:t>
      </w:r>
      <w:r w:rsidR="00114923" w:rsidRPr="00114923">
        <w:rPr>
          <w:rFonts w:ascii="Times New Roman" w:hAnsi="Times New Roman" w:cs="Times New Roman"/>
          <w:sz w:val="28"/>
          <w:szCs w:val="28"/>
        </w:rPr>
        <w:t xml:space="preserve">и снижением уровня реальных доходов населения. Это привело к сдерживанию внутреннего спроса и нарастанию ограничений развития экономики в среднесрочной перспективе. </w:t>
      </w:r>
    </w:p>
    <w:p w14:paraId="702C8759" w14:textId="3CD5C617" w:rsidR="00114923" w:rsidRDefault="00114923" w:rsidP="00114923">
      <w:pPr>
        <w:spacing w:line="360" w:lineRule="auto"/>
        <w:ind w:firstLine="567"/>
        <w:jc w:val="both"/>
        <w:rPr>
          <w:rFonts w:ascii="Times New Roman" w:hAnsi="Times New Roman" w:cs="Times New Roman"/>
          <w:sz w:val="28"/>
          <w:szCs w:val="28"/>
        </w:rPr>
      </w:pPr>
      <w:r w:rsidRPr="00114923">
        <w:rPr>
          <w:rFonts w:ascii="Times New Roman" w:hAnsi="Times New Roman" w:cs="Times New Roman"/>
          <w:sz w:val="28"/>
          <w:szCs w:val="28"/>
        </w:rPr>
        <w:t>В связи с тем, что в современной структуре российской экономики потребительский спрос играет ключевое значение</w:t>
      </w:r>
      <w:r w:rsidR="00BC3AA1">
        <w:rPr>
          <w:rFonts w:ascii="Times New Roman" w:hAnsi="Times New Roman" w:cs="Times New Roman"/>
          <w:sz w:val="28"/>
          <w:szCs w:val="28"/>
        </w:rPr>
        <w:t>,</w:t>
      </w:r>
      <w:r w:rsidRPr="00114923">
        <w:rPr>
          <w:rFonts w:ascii="Times New Roman" w:hAnsi="Times New Roman" w:cs="Times New Roman"/>
          <w:sz w:val="28"/>
          <w:szCs w:val="28"/>
        </w:rPr>
        <w:t xml:space="preserve"> необходимость исправления ситуации в социальной сфере признает и Правительство</w:t>
      </w:r>
      <w:r w:rsidR="00BC3AA1">
        <w:rPr>
          <w:rFonts w:ascii="Times New Roman" w:hAnsi="Times New Roman" w:cs="Times New Roman"/>
          <w:sz w:val="28"/>
          <w:szCs w:val="28"/>
        </w:rPr>
        <w:t>,</w:t>
      </w:r>
      <w:r w:rsidRPr="00114923">
        <w:rPr>
          <w:rFonts w:ascii="Times New Roman" w:hAnsi="Times New Roman" w:cs="Times New Roman"/>
          <w:sz w:val="28"/>
          <w:szCs w:val="28"/>
        </w:rPr>
        <w:t xml:space="preserve"> и экспертное сообщество. Заинтересован в росте платежеспособного спроса населения и российский бизнес. В этих условиях важно понять, какие факторы сдерживают улучшение уровня доходов и качества жизни населения и какие действия будут наиболее эффективными для решения задач в социальной сфере.</w:t>
      </w:r>
    </w:p>
    <w:p w14:paraId="43A3302B" w14:textId="1EB16206" w:rsidR="00114923" w:rsidRDefault="00114923" w:rsidP="0011492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Многие из проблем</w:t>
      </w:r>
      <w:r w:rsidR="00BC3AA1">
        <w:rPr>
          <w:rFonts w:ascii="Times New Roman" w:hAnsi="Times New Roman" w:cs="Times New Roman"/>
          <w:sz w:val="28"/>
          <w:szCs w:val="28"/>
        </w:rPr>
        <w:t>,</w:t>
      </w:r>
      <w:r>
        <w:rPr>
          <w:rFonts w:ascii="Times New Roman" w:hAnsi="Times New Roman" w:cs="Times New Roman"/>
          <w:sz w:val="28"/>
          <w:szCs w:val="28"/>
        </w:rPr>
        <w:t xml:space="preserve"> с которыми столкнулась российская экономика в социальной сфере</w:t>
      </w:r>
      <w:r w:rsidR="00BC3AA1">
        <w:rPr>
          <w:rFonts w:ascii="Times New Roman" w:hAnsi="Times New Roman" w:cs="Times New Roman"/>
          <w:sz w:val="28"/>
          <w:szCs w:val="28"/>
        </w:rPr>
        <w:t>,</w:t>
      </w:r>
      <w:r>
        <w:rPr>
          <w:rFonts w:ascii="Times New Roman" w:hAnsi="Times New Roman" w:cs="Times New Roman"/>
          <w:sz w:val="28"/>
          <w:szCs w:val="28"/>
        </w:rPr>
        <w:t xml:space="preserve"> носят длительный характер </w:t>
      </w:r>
      <w:r w:rsidR="00BC3AA1">
        <w:rPr>
          <w:rFonts w:ascii="Times New Roman" w:hAnsi="Times New Roman" w:cs="Times New Roman"/>
          <w:sz w:val="28"/>
          <w:szCs w:val="28"/>
        </w:rPr>
        <w:t>и требуют серьезных усилий по изменению тенденций в формировании и перераспределения доходов. В условиях посткризисного восстановления российской экономики такие действия позволят не только обеспечить более высокие и устойчивые темпы экономического роста, но и обеспечить новое качество жизни в стране, базирующееся на учете интересов населения, бизнеса и государства.</w:t>
      </w:r>
    </w:p>
    <w:p w14:paraId="307AD497" w14:textId="701D3FA9" w:rsidR="0043374B" w:rsidRPr="00BC3AA1" w:rsidRDefault="00BC3AA1" w:rsidP="00BC3AA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Данная работа является расширенной и дополненной версией социального раздела доклада «Посткризисное восстановление экономики и основные</w:t>
      </w:r>
      <w:r w:rsidRPr="00BC3AA1">
        <w:rPr>
          <w:rFonts w:ascii="Times New Roman" w:hAnsi="Times New Roman" w:cs="Times New Roman"/>
          <w:sz w:val="28"/>
          <w:szCs w:val="28"/>
        </w:rPr>
        <w:t xml:space="preserve"> </w:t>
      </w:r>
      <w:proofErr w:type="gramStart"/>
      <w:r w:rsidRPr="00BC3AA1">
        <w:rPr>
          <w:rFonts w:ascii="Times New Roman" w:hAnsi="Times New Roman" w:cs="Times New Roman"/>
          <w:sz w:val="28"/>
          <w:szCs w:val="28"/>
        </w:rPr>
        <w:t>направления  прог</w:t>
      </w:r>
      <w:r>
        <w:rPr>
          <w:rFonts w:ascii="Times New Roman" w:hAnsi="Times New Roman" w:cs="Times New Roman"/>
          <w:sz w:val="28"/>
          <w:szCs w:val="28"/>
        </w:rPr>
        <w:t>ноза</w:t>
      </w:r>
      <w:proofErr w:type="gramEnd"/>
      <w:r>
        <w:rPr>
          <w:rFonts w:ascii="Times New Roman" w:hAnsi="Times New Roman" w:cs="Times New Roman"/>
          <w:sz w:val="28"/>
          <w:szCs w:val="28"/>
        </w:rPr>
        <w:t xml:space="preserve">  социально-экономического развития России на период до </w:t>
      </w:r>
      <w:r w:rsidRPr="00BC3AA1">
        <w:rPr>
          <w:rFonts w:ascii="Times New Roman" w:hAnsi="Times New Roman" w:cs="Times New Roman"/>
          <w:sz w:val="28"/>
          <w:szCs w:val="28"/>
        </w:rPr>
        <w:t>2035 г.</w:t>
      </w:r>
      <w:r>
        <w:rPr>
          <w:rFonts w:ascii="Times New Roman" w:hAnsi="Times New Roman" w:cs="Times New Roman"/>
          <w:sz w:val="28"/>
          <w:szCs w:val="28"/>
        </w:rPr>
        <w:t>»</w:t>
      </w:r>
      <w:r>
        <w:rPr>
          <w:rStyle w:val="ad"/>
          <w:rFonts w:ascii="Times New Roman" w:hAnsi="Times New Roman" w:cs="Times New Roman"/>
          <w:sz w:val="28"/>
          <w:szCs w:val="28"/>
        </w:rPr>
        <w:footnoteReference w:id="2"/>
      </w:r>
      <w:r>
        <w:rPr>
          <w:rFonts w:ascii="Times New Roman" w:hAnsi="Times New Roman" w:cs="Times New Roman"/>
          <w:sz w:val="28"/>
          <w:szCs w:val="28"/>
        </w:rPr>
        <w:t>, подготовленного в 2020 г. в ИНП РАН.</w:t>
      </w:r>
      <w:r w:rsidR="0043374B" w:rsidRPr="00114923">
        <w:rPr>
          <w:rFonts w:ascii="Liberation Serif" w:hAnsi="Liberation Serif" w:cs="Times New Roman"/>
          <w:b/>
          <w:bCs/>
        </w:rPr>
        <w:br w:type="page"/>
      </w:r>
    </w:p>
    <w:p w14:paraId="7CDC56C0" w14:textId="3FB94B66" w:rsidR="00067ACA" w:rsidRPr="00067ACA" w:rsidRDefault="00067ACA" w:rsidP="00067ACA">
      <w:pPr>
        <w:pStyle w:val="1"/>
        <w:numPr>
          <w:ilvl w:val="0"/>
          <w:numId w:val="14"/>
        </w:numPr>
        <w:rPr>
          <w:rFonts w:ascii="Times New Roman" w:hAnsi="Times New Roman" w:cs="Times New Roman"/>
          <w:color w:val="auto"/>
        </w:rPr>
      </w:pPr>
      <w:bookmarkStart w:id="1" w:name="_Toc67417866"/>
      <w:r w:rsidRPr="00067ACA">
        <w:rPr>
          <w:rFonts w:ascii="Times New Roman" w:hAnsi="Times New Roman" w:cs="Times New Roman"/>
          <w:color w:val="auto"/>
        </w:rPr>
        <w:t>Ретроспективный анализ изменения уровня и качества жизни населения</w:t>
      </w:r>
      <w:bookmarkEnd w:id="1"/>
      <w:r w:rsidRPr="00067ACA">
        <w:rPr>
          <w:rFonts w:ascii="Times New Roman" w:hAnsi="Times New Roman" w:cs="Times New Roman"/>
          <w:color w:val="auto"/>
        </w:rPr>
        <w:t xml:space="preserve"> </w:t>
      </w:r>
    </w:p>
    <w:p w14:paraId="62482924" w14:textId="77777777" w:rsidR="00D86D14" w:rsidRDefault="00D86D14" w:rsidP="00D86D14">
      <w:pPr>
        <w:spacing w:after="0" w:line="360" w:lineRule="auto"/>
        <w:ind w:firstLine="720"/>
        <w:jc w:val="both"/>
      </w:pPr>
      <w:r>
        <w:rPr>
          <w:rFonts w:ascii="Liberation Serif" w:hAnsi="Liberation Serif" w:cs="Times New Roman"/>
          <w:sz w:val="28"/>
          <w:szCs w:val="28"/>
        </w:rPr>
        <w:t xml:space="preserve">Распад Советского Союза сопровождался глубоким экономическим спадом, </w:t>
      </w:r>
      <w:proofErr w:type="gramStart"/>
      <w:r>
        <w:rPr>
          <w:rFonts w:ascii="Liberation Serif" w:hAnsi="Liberation Serif" w:cs="Times New Roman"/>
          <w:sz w:val="28"/>
          <w:szCs w:val="28"/>
        </w:rPr>
        <w:t>тяжелейшим образом</w:t>
      </w:r>
      <w:proofErr w:type="gramEnd"/>
      <w:r>
        <w:rPr>
          <w:rFonts w:ascii="Liberation Serif" w:hAnsi="Liberation Serif" w:cs="Times New Roman"/>
          <w:sz w:val="28"/>
          <w:szCs w:val="28"/>
        </w:rPr>
        <w:t xml:space="preserve"> отразившимся на уровне и качестве жизни населения. Однако, если посмотреть на статистику, то можно обнаружить, что в период кризиса 1990-х гг. потребление населения сократилось намного меньше, чем ВВП и инвестиции в основной </w:t>
      </w:r>
      <w:r w:rsidRPr="00ED40E0">
        <w:rPr>
          <w:rFonts w:ascii="Liberation Serif" w:hAnsi="Liberation Serif" w:cs="Times New Roman"/>
          <w:sz w:val="28"/>
          <w:szCs w:val="28"/>
        </w:rPr>
        <w:t>капитал (рис. 1.1). Максимальное</w:t>
      </w:r>
      <w:r>
        <w:rPr>
          <w:rFonts w:ascii="Liberation Serif" w:hAnsi="Liberation Serif" w:cs="Times New Roman"/>
          <w:sz w:val="28"/>
          <w:szCs w:val="28"/>
        </w:rPr>
        <w:t xml:space="preserve"> снижение физического объема потребления домашних хозяйств (ПДХ) по отношению к уровню 1990 г</w:t>
      </w:r>
      <w:r w:rsidRPr="003A5390">
        <w:rPr>
          <w:rFonts w:ascii="Liberation Serif" w:hAnsi="Liberation Serif" w:cs="Times New Roman"/>
          <w:sz w:val="28"/>
          <w:szCs w:val="28"/>
        </w:rPr>
        <w:t>. - на 21% - отмечалось 1999 г</w:t>
      </w:r>
      <w:r>
        <w:rPr>
          <w:rFonts w:ascii="Liberation Serif" w:hAnsi="Liberation Serif" w:cs="Times New Roman"/>
          <w:sz w:val="28"/>
          <w:szCs w:val="28"/>
        </w:rPr>
        <w:t xml:space="preserve">., </w:t>
      </w:r>
      <w:r w:rsidRPr="003A5390">
        <w:rPr>
          <w:rFonts w:ascii="Liberation Serif" w:hAnsi="Liberation Serif" w:cs="Times New Roman"/>
          <w:color w:val="000000"/>
          <w:sz w:val="28"/>
          <w:szCs w:val="28"/>
        </w:rPr>
        <w:t>в то время как ВВП сократился</w:t>
      </w:r>
      <w:r>
        <w:rPr>
          <w:rFonts w:ascii="Liberation Serif" w:hAnsi="Liberation Serif" w:cs="Times New Roman"/>
          <w:color w:val="000000"/>
          <w:sz w:val="28"/>
          <w:szCs w:val="28"/>
        </w:rPr>
        <w:t xml:space="preserve"> за период кризиса 90-х годов</w:t>
      </w:r>
      <w:r w:rsidRPr="003A5390">
        <w:rPr>
          <w:rFonts w:ascii="Liberation Serif" w:hAnsi="Liberation Serif" w:cs="Times New Roman"/>
          <w:color w:val="000000"/>
          <w:sz w:val="28"/>
          <w:szCs w:val="28"/>
        </w:rPr>
        <w:t xml:space="preserve"> почти в два раза. Это </w:t>
      </w:r>
      <w:r w:rsidRPr="003A5390">
        <w:rPr>
          <w:rFonts w:ascii="Liberation Serif" w:hAnsi="Liberation Serif" w:cs="Times New Roman"/>
          <w:sz w:val="28"/>
          <w:szCs w:val="28"/>
        </w:rPr>
        <w:t>объясняется перераспределением</w:t>
      </w:r>
      <w:r>
        <w:rPr>
          <w:rFonts w:ascii="Liberation Serif" w:hAnsi="Liberation Serif" w:cs="Times New Roman"/>
          <w:sz w:val="28"/>
          <w:szCs w:val="28"/>
        </w:rPr>
        <w:t xml:space="preserve"> расходов от инвестиций, которые снижались еще быстрее, чем ВВП, в пользу потребления, что в </w:t>
      </w:r>
      <w:proofErr w:type="gramStart"/>
      <w:r>
        <w:rPr>
          <w:rFonts w:ascii="Liberation Serif" w:hAnsi="Liberation Serif" w:cs="Times New Roman"/>
          <w:sz w:val="28"/>
          <w:szCs w:val="28"/>
        </w:rPr>
        <w:t>течение  нескольких</w:t>
      </w:r>
      <w:proofErr w:type="gramEnd"/>
      <w:r>
        <w:rPr>
          <w:rFonts w:ascii="Liberation Serif" w:hAnsi="Liberation Serif" w:cs="Times New Roman"/>
          <w:sz w:val="28"/>
          <w:szCs w:val="28"/>
        </w:rPr>
        <w:t xml:space="preserve"> лет позволяло поддерживать потребительский спрос на минимально приемлемом уровне.</w:t>
      </w:r>
    </w:p>
    <w:p w14:paraId="055F329B" w14:textId="77777777" w:rsidR="00D86D14" w:rsidRDefault="00D86D14" w:rsidP="00D86D14">
      <w:pPr>
        <w:spacing w:after="0" w:line="360" w:lineRule="auto"/>
        <w:jc w:val="center"/>
        <w:rPr>
          <w:rFonts w:ascii="Liberation Serif" w:hAnsi="Liberation Serif" w:cs="Times New Roman"/>
          <w:sz w:val="28"/>
          <w:szCs w:val="28"/>
        </w:rPr>
      </w:pPr>
    </w:p>
    <w:p w14:paraId="302526B2" w14:textId="77777777" w:rsidR="00D86D14" w:rsidRDefault="00D86D14" w:rsidP="00D86D14">
      <w:pPr>
        <w:spacing w:after="0" w:line="360" w:lineRule="auto"/>
        <w:jc w:val="center"/>
      </w:pPr>
      <w:r>
        <w:rPr>
          <w:noProof/>
          <w:lang w:eastAsia="ru-RU"/>
        </w:rPr>
        <w:drawing>
          <wp:inline distT="0" distB="0" distL="0" distR="0" wp14:anchorId="22A2D42E" wp14:editId="5BB2A567">
            <wp:extent cx="4572000" cy="2743200"/>
            <wp:effectExtent l="0" t="0" r="19050" b="1905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C4A51F5" w14:textId="2E0412F1" w:rsidR="00D86D14" w:rsidRDefault="00ED40E0" w:rsidP="00D86D14">
      <w:pPr>
        <w:spacing w:after="0" w:line="360" w:lineRule="auto"/>
        <w:jc w:val="center"/>
      </w:pPr>
      <w:r>
        <w:rPr>
          <w:rFonts w:ascii="Liberation Serif" w:hAnsi="Liberation Serif" w:cs="Times New Roman"/>
          <w:sz w:val="28"/>
          <w:szCs w:val="28"/>
        </w:rPr>
        <w:t>Рисунок</w:t>
      </w:r>
      <w:r w:rsidR="00D86D14" w:rsidRPr="00ED40E0">
        <w:rPr>
          <w:rFonts w:ascii="Liberation Serif" w:hAnsi="Liberation Serif" w:cs="Times New Roman"/>
          <w:sz w:val="28"/>
          <w:szCs w:val="28"/>
        </w:rPr>
        <w:t xml:space="preserve"> 1.1.</w:t>
      </w:r>
      <w:r w:rsidR="00D86D14">
        <w:rPr>
          <w:rFonts w:ascii="Liberation Serif" w:hAnsi="Liberation Serif" w:cs="Times New Roman"/>
          <w:sz w:val="28"/>
          <w:szCs w:val="28"/>
        </w:rPr>
        <w:t xml:space="preserve"> Физический объем ВВП, ПДХ и валового накопления основного капитала, 1990 = 1</w:t>
      </w:r>
    </w:p>
    <w:p w14:paraId="6A36EEEE" w14:textId="77777777" w:rsidR="00D86D14" w:rsidRPr="005663AB" w:rsidRDefault="00D86D14" w:rsidP="00D86D14">
      <w:pPr>
        <w:spacing w:after="0" w:line="240" w:lineRule="auto"/>
        <w:ind w:firstLine="720"/>
        <w:jc w:val="both"/>
      </w:pPr>
      <w:r>
        <w:rPr>
          <w:rFonts w:ascii="Liberation Serif" w:hAnsi="Liberation Serif" w:cs="Times New Roman"/>
          <w:iCs/>
          <w:sz w:val="24"/>
          <w:szCs w:val="24"/>
        </w:rPr>
        <w:t>Источник: Росстат, расчеты ИНП РАН</w:t>
      </w:r>
    </w:p>
    <w:p w14:paraId="587912E0" w14:textId="77777777" w:rsidR="00D86D14" w:rsidRDefault="00D86D14" w:rsidP="00D86D14">
      <w:pPr>
        <w:spacing w:after="0" w:line="360" w:lineRule="auto"/>
        <w:ind w:firstLine="720"/>
        <w:jc w:val="both"/>
      </w:pPr>
    </w:p>
    <w:p w14:paraId="37D6033A" w14:textId="32127753" w:rsidR="00D86D14" w:rsidRDefault="00D86D14" w:rsidP="00D86D14">
      <w:pPr>
        <w:spacing w:after="0" w:line="360" w:lineRule="auto"/>
        <w:ind w:firstLine="720"/>
        <w:jc w:val="both"/>
      </w:pPr>
      <w:r>
        <w:rPr>
          <w:rFonts w:ascii="Liberation Serif" w:hAnsi="Liberation Serif" w:cs="Times New Roman"/>
          <w:sz w:val="28"/>
          <w:szCs w:val="28"/>
        </w:rPr>
        <w:t>Наиболее значимым</w:t>
      </w:r>
      <w:r w:rsidR="00D240D6">
        <w:rPr>
          <w:rFonts w:ascii="Liberation Serif" w:hAnsi="Liberation Serif" w:cs="Times New Roman"/>
          <w:sz w:val="28"/>
          <w:szCs w:val="28"/>
        </w:rPr>
        <w:t>,</w:t>
      </w:r>
      <w:r>
        <w:rPr>
          <w:rFonts w:ascii="Liberation Serif" w:hAnsi="Liberation Serif" w:cs="Times New Roman"/>
          <w:sz w:val="28"/>
          <w:szCs w:val="28"/>
        </w:rPr>
        <w:t xml:space="preserve"> с </w:t>
      </w:r>
      <w:r w:rsidR="006E3DC0">
        <w:rPr>
          <w:rFonts w:ascii="Liberation Serif" w:hAnsi="Liberation Serif" w:cs="Times New Roman"/>
          <w:sz w:val="28"/>
          <w:szCs w:val="28"/>
        </w:rPr>
        <w:t>социальной</w:t>
      </w:r>
      <w:r>
        <w:rPr>
          <w:rFonts w:ascii="Liberation Serif" w:hAnsi="Liberation Serif" w:cs="Times New Roman"/>
          <w:sz w:val="28"/>
          <w:szCs w:val="28"/>
        </w:rPr>
        <w:t xml:space="preserve"> точки зрения</w:t>
      </w:r>
      <w:r w:rsidR="00D240D6">
        <w:rPr>
          <w:rFonts w:ascii="Liberation Serif" w:hAnsi="Liberation Serif" w:cs="Times New Roman"/>
          <w:sz w:val="28"/>
          <w:szCs w:val="28"/>
        </w:rPr>
        <w:t>,</w:t>
      </w:r>
      <w:r>
        <w:rPr>
          <w:rFonts w:ascii="Liberation Serif" w:hAnsi="Liberation Serif" w:cs="Times New Roman"/>
          <w:sz w:val="28"/>
          <w:szCs w:val="28"/>
        </w:rPr>
        <w:t xml:space="preserve"> следствием трансформационного перехода стало значительное расслоение населения по уровню доходов. </w:t>
      </w:r>
      <w:r>
        <w:rPr>
          <w:rFonts w:ascii="Times New Roman" w:hAnsi="Times New Roman" w:cs="Times New Roman"/>
          <w:sz w:val="28"/>
          <w:szCs w:val="28"/>
        </w:rPr>
        <w:t>Согласно данным Росстата, индекс Джини, равный 0</w:t>
      </w:r>
      <w:r w:rsidR="00D240D6">
        <w:rPr>
          <w:rFonts w:ascii="Times New Roman" w:hAnsi="Times New Roman" w:cs="Times New Roman"/>
          <w:sz w:val="28"/>
          <w:szCs w:val="28"/>
        </w:rPr>
        <w:t>,</w:t>
      </w:r>
      <w:r>
        <w:rPr>
          <w:rFonts w:ascii="Times New Roman" w:hAnsi="Times New Roman" w:cs="Times New Roman"/>
          <w:sz w:val="28"/>
          <w:szCs w:val="28"/>
        </w:rPr>
        <w:t>29 в 1992 г. (приблизительно соответствует текущему уровню Финляндии), уже в следующем году увеличился до 0</w:t>
      </w:r>
      <w:r w:rsidR="00D240D6">
        <w:rPr>
          <w:rFonts w:ascii="Times New Roman" w:hAnsi="Times New Roman" w:cs="Times New Roman"/>
          <w:sz w:val="28"/>
          <w:szCs w:val="28"/>
        </w:rPr>
        <w:t>,</w:t>
      </w:r>
      <w:r>
        <w:rPr>
          <w:rFonts w:ascii="Times New Roman" w:hAnsi="Times New Roman" w:cs="Times New Roman"/>
          <w:sz w:val="28"/>
          <w:szCs w:val="28"/>
        </w:rPr>
        <w:t>41 (текущий уровень США). По оценкам Всемирного банка, в 1993 г. индекс Джини и вовсе достиг 0</w:t>
      </w:r>
      <w:r w:rsidR="00D240D6">
        <w:rPr>
          <w:rFonts w:ascii="Times New Roman" w:hAnsi="Times New Roman" w:cs="Times New Roman"/>
          <w:sz w:val="28"/>
          <w:szCs w:val="28"/>
        </w:rPr>
        <w:t>,</w:t>
      </w:r>
      <w:r>
        <w:rPr>
          <w:rFonts w:ascii="Times New Roman" w:hAnsi="Times New Roman" w:cs="Times New Roman"/>
          <w:sz w:val="28"/>
          <w:szCs w:val="28"/>
        </w:rPr>
        <w:t>48.</w:t>
      </w:r>
    </w:p>
    <w:p w14:paraId="28469878" w14:textId="410FF627" w:rsidR="00D86D14" w:rsidRDefault="00D86D14" w:rsidP="00D86D14">
      <w:pPr>
        <w:spacing w:after="0" w:line="360" w:lineRule="auto"/>
        <w:ind w:firstLine="720"/>
        <w:jc w:val="both"/>
      </w:pPr>
      <w:r>
        <w:rPr>
          <w:rFonts w:ascii="Times New Roman" w:hAnsi="Times New Roman" w:cs="Times New Roman"/>
          <w:sz w:val="28"/>
          <w:szCs w:val="28"/>
        </w:rPr>
        <w:t>Рост социального расслоения можно увидеть, если посмотреть на динамику реальных доходов двадцатипроцентных групп российских домашних хозяйств (</w:t>
      </w:r>
      <w:r w:rsidRPr="00ED40E0">
        <w:rPr>
          <w:rFonts w:ascii="Times New Roman" w:hAnsi="Times New Roman" w:cs="Times New Roman"/>
          <w:sz w:val="28"/>
          <w:szCs w:val="28"/>
        </w:rPr>
        <w:t>рис. 1.2</w:t>
      </w:r>
      <w:r>
        <w:rPr>
          <w:rFonts w:ascii="Times New Roman" w:hAnsi="Times New Roman" w:cs="Times New Roman"/>
          <w:sz w:val="28"/>
          <w:szCs w:val="28"/>
        </w:rPr>
        <w:t xml:space="preserve">): чем ниже доход группы, тем в большей степени в первой половине 1990-х гг. снижались ее доходы. При этом фактическая ситуация была еще хуже по двум причинам: во-первых, официальная </w:t>
      </w:r>
      <w:r w:rsidR="006E3DC0">
        <w:rPr>
          <w:rFonts w:ascii="Times New Roman" w:hAnsi="Times New Roman" w:cs="Times New Roman"/>
          <w:sz w:val="28"/>
          <w:szCs w:val="28"/>
        </w:rPr>
        <w:t>статистика</w:t>
      </w:r>
      <w:r>
        <w:rPr>
          <w:rFonts w:ascii="Times New Roman" w:hAnsi="Times New Roman" w:cs="Times New Roman"/>
          <w:sz w:val="28"/>
          <w:szCs w:val="28"/>
        </w:rPr>
        <w:t xml:space="preserve"> не в состоянии абсолютно точно оценить уровень дифференциации доходов и, как правило, систематически его занижает</w:t>
      </w:r>
      <w:r>
        <w:rPr>
          <w:rStyle w:val="ad"/>
          <w:rFonts w:ascii="Times New Roman" w:hAnsi="Times New Roman" w:cs="Times New Roman"/>
          <w:sz w:val="28"/>
          <w:szCs w:val="28"/>
        </w:rPr>
        <w:footnoteReference w:id="3"/>
      </w:r>
      <w:r>
        <w:rPr>
          <w:rFonts w:ascii="Times New Roman" w:hAnsi="Times New Roman" w:cs="Times New Roman"/>
          <w:sz w:val="28"/>
          <w:szCs w:val="28"/>
        </w:rPr>
        <w:t>, во-вторых, внутри наименее и наиболее обеспеченных групп также существовала серьезная дифференциация.</w:t>
      </w:r>
    </w:p>
    <w:p w14:paraId="3754099D" w14:textId="763AC6FD" w:rsidR="00D86D14" w:rsidRDefault="00D86D14" w:rsidP="00D86D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Период </w:t>
      </w:r>
      <w:proofErr w:type="gramStart"/>
      <w:r>
        <w:rPr>
          <w:rFonts w:ascii="Times New Roman" w:hAnsi="Times New Roman" w:cs="Times New Roman"/>
          <w:sz w:val="28"/>
          <w:szCs w:val="28"/>
        </w:rPr>
        <w:t>2000-2014</w:t>
      </w:r>
      <w:proofErr w:type="gramEnd"/>
      <w:r>
        <w:rPr>
          <w:rFonts w:ascii="Times New Roman" w:hAnsi="Times New Roman" w:cs="Times New Roman"/>
          <w:sz w:val="28"/>
          <w:szCs w:val="28"/>
        </w:rPr>
        <w:t xml:space="preserve"> гг. характеризуется быстрым</w:t>
      </w:r>
      <w:r w:rsidR="002C4F53">
        <w:rPr>
          <w:rFonts w:ascii="Times New Roman" w:hAnsi="Times New Roman" w:cs="Times New Roman"/>
          <w:sz w:val="28"/>
          <w:szCs w:val="28"/>
        </w:rPr>
        <w:t xml:space="preserve"> ростом</w:t>
      </w:r>
      <w:r>
        <w:rPr>
          <w:rFonts w:ascii="Times New Roman" w:hAnsi="Times New Roman" w:cs="Times New Roman"/>
          <w:sz w:val="28"/>
          <w:szCs w:val="28"/>
        </w:rPr>
        <w:t xml:space="preserve"> физического объема ПДХ (по отношению к предыдущему году этот показатель снизился только в кризисном 2009 г.). В результате уже в 2001 г. был достигнут уровень 1990 г., а по итогам 2014 г. он был превышен почти в </w:t>
      </w:r>
      <w:r w:rsidRPr="00294F8E">
        <w:rPr>
          <w:rFonts w:ascii="Times New Roman" w:hAnsi="Times New Roman" w:cs="Times New Roman"/>
          <w:sz w:val="28"/>
          <w:szCs w:val="28"/>
        </w:rPr>
        <w:t>2</w:t>
      </w:r>
      <w:r w:rsidR="002C4F53">
        <w:rPr>
          <w:rFonts w:ascii="Times New Roman" w:hAnsi="Times New Roman" w:cs="Times New Roman"/>
          <w:sz w:val="28"/>
          <w:szCs w:val="28"/>
        </w:rPr>
        <w:t>,</w:t>
      </w:r>
      <w:r w:rsidRPr="00294F8E">
        <w:rPr>
          <w:rFonts w:ascii="Times New Roman" w:hAnsi="Times New Roman" w:cs="Times New Roman"/>
          <w:sz w:val="28"/>
          <w:szCs w:val="28"/>
        </w:rPr>
        <w:t>5 раза</w:t>
      </w:r>
      <w:r>
        <w:rPr>
          <w:rFonts w:ascii="Times New Roman" w:hAnsi="Times New Roman" w:cs="Times New Roman"/>
          <w:sz w:val="28"/>
          <w:szCs w:val="28"/>
        </w:rPr>
        <w:t>. Значительная дифференциация доходов продолжала сохраняться: в наибольшей степени в этот период выиграла наиболее обеспеченная двадцатипроцентная группа домашних хозяйств, а наи</w:t>
      </w:r>
      <w:r w:rsidR="002C4F53">
        <w:rPr>
          <w:rFonts w:ascii="Times New Roman" w:hAnsi="Times New Roman" w:cs="Times New Roman"/>
          <w:sz w:val="28"/>
          <w:szCs w:val="28"/>
        </w:rPr>
        <w:t>менее обеспеченная даже на пике,</w:t>
      </w:r>
      <w:r>
        <w:rPr>
          <w:rFonts w:ascii="Times New Roman" w:hAnsi="Times New Roman" w:cs="Times New Roman"/>
          <w:sz w:val="28"/>
          <w:szCs w:val="28"/>
        </w:rPr>
        <w:t xml:space="preserve"> в 2014 г.</w:t>
      </w:r>
      <w:r w:rsidR="002C4F53">
        <w:rPr>
          <w:rFonts w:ascii="Times New Roman" w:hAnsi="Times New Roman" w:cs="Times New Roman"/>
          <w:sz w:val="28"/>
          <w:szCs w:val="28"/>
        </w:rPr>
        <w:t>,</w:t>
      </w:r>
      <w:r>
        <w:rPr>
          <w:rFonts w:ascii="Times New Roman" w:hAnsi="Times New Roman" w:cs="Times New Roman"/>
          <w:sz w:val="28"/>
          <w:szCs w:val="28"/>
        </w:rPr>
        <w:t xml:space="preserve"> так и не достигла уровня 1990 г.</w:t>
      </w:r>
    </w:p>
    <w:p w14:paraId="2E019398" w14:textId="77777777" w:rsidR="00D86D14" w:rsidRDefault="00D86D14" w:rsidP="00D86D1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Начавшийся в 2015 г. период характеризуется спадом и последовавшей за ним стагнацией как физического объема ПДХ в целом, так и реальных денежных доходов всех двадцатипроцентных групп домашних хозяйств. Однако и здесь важна дифференциация: если смотреть не на двадцати-, а на десятипроцентные (</w:t>
      </w:r>
      <w:proofErr w:type="spellStart"/>
      <w:r>
        <w:rPr>
          <w:rFonts w:ascii="Times New Roman" w:hAnsi="Times New Roman" w:cs="Times New Roman"/>
          <w:sz w:val="28"/>
          <w:szCs w:val="28"/>
        </w:rPr>
        <w:t>децильные</w:t>
      </w:r>
      <w:proofErr w:type="spellEnd"/>
      <w:r>
        <w:rPr>
          <w:rFonts w:ascii="Times New Roman" w:hAnsi="Times New Roman" w:cs="Times New Roman"/>
          <w:sz w:val="28"/>
          <w:szCs w:val="28"/>
        </w:rPr>
        <w:t xml:space="preserve">) группы, то у наиболее обеспеченной </w:t>
      </w:r>
      <w:proofErr w:type="spellStart"/>
      <w:r>
        <w:rPr>
          <w:rFonts w:ascii="Times New Roman" w:hAnsi="Times New Roman" w:cs="Times New Roman"/>
          <w:sz w:val="28"/>
          <w:szCs w:val="28"/>
        </w:rPr>
        <w:t>децильной</w:t>
      </w:r>
      <w:proofErr w:type="spellEnd"/>
      <w:r>
        <w:rPr>
          <w:rFonts w:ascii="Times New Roman" w:hAnsi="Times New Roman" w:cs="Times New Roman"/>
          <w:sz w:val="28"/>
          <w:szCs w:val="28"/>
        </w:rPr>
        <w:t xml:space="preserve"> группы реальные доходы росли и в течение этого периода.</w:t>
      </w:r>
    </w:p>
    <w:p w14:paraId="0D87F39B" w14:textId="77777777" w:rsidR="00D86D14" w:rsidRDefault="00D86D14" w:rsidP="00D86D14">
      <w:pPr>
        <w:spacing w:after="0"/>
      </w:pPr>
      <w:r>
        <w:rPr>
          <w:noProof/>
          <w:lang w:eastAsia="ru-RU"/>
        </w:rPr>
        <w:drawing>
          <wp:inline distT="0" distB="0" distL="0" distR="0" wp14:anchorId="6F804AB4" wp14:editId="27BEBB4D">
            <wp:extent cx="5953125" cy="31051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993C6E" w14:textId="77777777" w:rsidR="00D86D14" w:rsidRDefault="00D86D14" w:rsidP="00D86D14">
      <w:pPr>
        <w:spacing w:after="0"/>
        <w:jc w:val="center"/>
      </w:pPr>
      <w:r w:rsidRPr="00ED40E0">
        <w:rPr>
          <w:rFonts w:ascii="Times New Roman" w:hAnsi="Times New Roman" w:cs="Times New Roman"/>
          <w:sz w:val="28"/>
          <w:szCs w:val="28"/>
        </w:rPr>
        <w:t>Рис. 1.2.</w:t>
      </w:r>
      <w:r>
        <w:rPr>
          <w:rFonts w:ascii="Liberation Serif" w:hAnsi="Liberation Serif"/>
          <w:sz w:val="28"/>
          <w:szCs w:val="28"/>
        </w:rPr>
        <w:t xml:space="preserve"> Реальные доходы двадцатипроцентных доходных групп домашних хозяйств в России, 1990 = 1</w:t>
      </w:r>
    </w:p>
    <w:p w14:paraId="18B00781" w14:textId="77777777" w:rsidR="00D86D14" w:rsidRDefault="00D86D14" w:rsidP="00D86D14">
      <w:pPr>
        <w:spacing w:after="0"/>
      </w:pPr>
      <w:r>
        <w:rPr>
          <w:rFonts w:ascii="Liberation Serif" w:hAnsi="Liberation Serif" w:cs="Times New Roman"/>
          <w:sz w:val="24"/>
          <w:szCs w:val="24"/>
        </w:rPr>
        <w:t>Источник: Росстат, расчеты ИНП РАН</w:t>
      </w:r>
    </w:p>
    <w:p w14:paraId="341C948A" w14:textId="77777777" w:rsidR="00D86D14" w:rsidRDefault="00D86D14" w:rsidP="00D86D14">
      <w:pPr>
        <w:spacing w:after="0"/>
        <w:rPr>
          <w:rFonts w:ascii="Liberation Serif" w:hAnsi="Liberation Serif"/>
        </w:rPr>
      </w:pPr>
    </w:p>
    <w:p w14:paraId="477B4035" w14:textId="320FEBE4" w:rsidR="00D86D14" w:rsidRDefault="00D86D14" w:rsidP="00D86D14">
      <w:pPr>
        <w:spacing w:after="0" w:line="360" w:lineRule="auto"/>
        <w:ind w:firstLine="720"/>
        <w:jc w:val="both"/>
      </w:pPr>
      <w:r>
        <w:rPr>
          <w:rFonts w:ascii="Liberation Serif" w:hAnsi="Liberation Serif" w:cs="Times New Roman"/>
          <w:sz w:val="28"/>
          <w:szCs w:val="28"/>
        </w:rPr>
        <w:t xml:space="preserve">За последние три десятилетия произошли существенные изменения в </w:t>
      </w:r>
      <w:r w:rsidR="002C4F53">
        <w:rPr>
          <w:rFonts w:ascii="Liberation Serif" w:hAnsi="Liberation Serif" w:cs="Times New Roman"/>
          <w:sz w:val="28"/>
          <w:szCs w:val="28"/>
        </w:rPr>
        <w:t>основных факторах</w:t>
      </w:r>
      <w:r>
        <w:rPr>
          <w:rFonts w:ascii="Liberation Serif" w:hAnsi="Liberation Serif" w:cs="Times New Roman"/>
          <w:sz w:val="28"/>
          <w:szCs w:val="28"/>
        </w:rPr>
        <w:t xml:space="preserve"> формирования спроса домохозяйств, связанные с изменением ценовых пропорций, расширением по</w:t>
      </w:r>
      <w:r w:rsidR="002C4F53">
        <w:rPr>
          <w:rFonts w:ascii="Liberation Serif" w:hAnsi="Liberation Serif" w:cs="Times New Roman"/>
          <w:sz w:val="28"/>
          <w:szCs w:val="28"/>
        </w:rPr>
        <w:t xml:space="preserve">требительского разнообразия и, </w:t>
      </w:r>
      <w:r>
        <w:rPr>
          <w:rFonts w:ascii="Liberation Serif" w:hAnsi="Liberation Serif" w:cs="Times New Roman"/>
          <w:sz w:val="28"/>
          <w:szCs w:val="28"/>
        </w:rPr>
        <w:t>после окончания трансформационного спада</w:t>
      </w:r>
      <w:r w:rsidR="002C4F53">
        <w:rPr>
          <w:rFonts w:ascii="Liberation Serif" w:hAnsi="Liberation Serif" w:cs="Times New Roman"/>
          <w:sz w:val="28"/>
          <w:szCs w:val="28"/>
        </w:rPr>
        <w:t xml:space="preserve">, </w:t>
      </w:r>
      <w:r>
        <w:rPr>
          <w:rFonts w:ascii="Liberation Serif" w:hAnsi="Liberation Serif" w:cs="Times New Roman"/>
          <w:sz w:val="28"/>
          <w:szCs w:val="28"/>
        </w:rPr>
        <w:t>ростом покупательской способности населения. В течение 2000-х гг. разрыв в величине ВВП на душу населения по паритету покупательной способности (ППС) между Россией и США сократился с 83 до 50%. Это существенное достижение, и оно в значительной степени изменило облик страны. В то же время эти положительные тенденции в недостаточной степени повлияли на многие наиболее важные качественные характеристики жизни значительной части населения России. Это хорошо видно при более детальном анализе структуры потребления российских домашних хозяйств в период экономического роста.</w:t>
      </w:r>
    </w:p>
    <w:p w14:paraId="5E5B156E" w14:textId="540AF2D2" w:rsidR="00D86D14" w:rsidRDefault="00D86D14" w:rsidP="00D86D14">
      <w:pPr>
        <w:spacing w:after="0" w:line="360" w:lineRule="auto"/>
        <w:ind w:firstLine="720"/>
        <w:jc w:val="both"/>
      </w:pPr>
      <w:r>
        <w:rPr>
          <w:rFonts w:ascii="Liberation Serif" w:hAnsi="Liberation Serif" w:cs="Times New Roman"/>
          <w:sz w:val="28"/>
          <w:szCs w:val="28"/>
        </w:rPr>
        <w:t xml:space="preserve">Потребительское поведение российских домашних хозяйств имеет важные особенности. Самая существенная из них заключается в том, что, несмотря на значительный рост ВВП и ПДХ на душу населения, не наблюдались ожидаемые с теоретической точки зрения и подтверждаемые </w:t>
      </w:r>
      <w:proofErr w:type="spellStart"/>
      <w:r>
        <w:rPr>
          <w:rFonts w:ascii="Liberation Serif" w:hAnsi="Liberation Serif" w:cs="Times New Roman"/>
          <w:sz w:val="28"/>
          <w:szCs w:val="28"/>
        </w:rPr>
        <w:t>межстрановыми</w:t>
      </w:r>
      <w:proofErr w:type="spellEnd"/>
      <w:r>
        <w:rPr>
          <w:rFonts w:ascii="Liberation Serif" w:hAnsi="Liberation Serif" w:cs="Times New Roman"/>
          <w:sz w:val="28"/>
          <w:szCs w:val="28"/>
        </w:rPr>
        <w:t xml:space="preserve"> сопоставлениями позитивные изменения в структуре потребления. Так, доля расходов на продовольствие в структуре ПДХ в течение многих лет остается крайне высокой и практически не меняется – </w:t>
      </w:r>
      <w:proofErr w:type="gramStart"/>
      <w:r>
        <w:rPr>
          <w:rFonts w:ascii="Liberation Serif" w:hAnsi="Liberation Serif" w:cs="Times New Roman"/>
          <w:sz w:val="28"/>
          <w:szCs w:val="28"/>
        </w:rPr>
        <w:t>24-30</w:t>
      </w:r>
      <w:proofErr w:type="gramEnd"/>
      <w:r>
        <w:rPr>
          <w:rFonts w:ascii="Liberation Serif" w:hAnsi="Liberation Serif" w:cs="Times New Roman"/>
          <w:sz w:val="28"/>
          <w:szCs w:val="28"/>
        </w:rPr>
        <w:t xml:space="preserve">% ПДХ в зависимости от того, в </w:t>
      </w:r>
      <w:r w:rsidR="00CA27E5">
        <w:rPr>
          <w:rFonts w:ascii="Liberation Serif" w:hAnsi="Liberation Serif" w:cs="Times New Roman"/>
          <w:sz w:val="28"/>
          <w:szCs w:val="28"/>
        </w:rPr>
        <w:t>соответствии</w:t>
      </w:r>
      <w:r>
        <w:rPr>
          <w:rFonts w:ascii="Liberation Serif" w:hAnsi="Liberation Serif" w:cs="Times New Roman"/>
          <w:sz w:val="28"/>
          <w:szCs w:val="28"/>
        </w:rPr>
        <w:t xml:space="preserve"> с какой методикой (СНС93 и ли СНС98) построены национальные счета (</w:t>
      </w:r>
      <w:r w:rsidRPr="00ED40E0">
        <w:rPr>
          <w:rFonts w:ascii="Liberation Serif" w:hAnsi="Liberation Serif" w:cs="Times New Roman"/>
          <w:sz w:val="28"/>
          <w:szCs w:val="28"/>
        </w:rPr>
        <w:t>рис. 1.3</w:t>
      </w:r>
      <w:r>
        <w:rPr>
          <w:rFonts w:ascii="Liberation Serif" w:hAnsi="Liberation Serif" w:cs="Times New Roman"/>
          <w:sz w:val="28"/>
          <w:szCs w:val="28"/>
        </w:rPr>
        <w:t xml:space="preserve">). И это при том, что в </w:t>
      </w:r>
      <w:proofErr w:type="gramStart"/>
      <w:r>
        <w:rPr>
          <w:rFonts w:ascii="Liberation Serif" w:hAnsi="Liberation Serif" w:cs="Times New Roman"/>
          <w:sz w:val="28"/>
          <w:szCs w:val="28"/>
        </w:rPr>
        <w:t>2004-2014</w:t>
      </w:r>
      <w:proofErr w:type="gramEnd"/>
      <w:r>
        <w:rPr>
          <w:rFonts w:ascii="Liberation Serif" w:hAnsi="Liberation Serif" w:cs="Times New Roman"/>
          <w:sz w:val="28"/>
          <w:szCs w:val="28"/>
        </w:rPr>
        <w:t xml:space="preserve"> гг. физический объем ПДХ на душу населения увеличился в 1.94 раза</w:t>
      </w:r>
      <w:r>
        <w:rPr>
          <w:rStyle w:val="aff"/>
          <w:rFonts w:ascii="Liberation Serif" w:hAnsi="Liberation Serif" w:cs="Times New Roman"/>
          <w:sz w:val="28"/>
          <w:szCs w:val="28"/>
        </w:rPr>
        <w:footnoteReference w:id="4"/>
      </w:r>
      <w:r>
        <w:rPr>
          <w:rFonts w:ascii="Liberation Serif" w:hAnsi="Liberation Serif" w:cs="Times New Roman"/>
          <w:sz w:val="28"/>
          <w:szCs w:val="28"/>
        </w:rPr>
        <w:t>.</w:t>
      </w:r>
    </w:p>
    <w:p w14:paraId="6752178B" w14:textId="77777777" w:rsidR="00D86D14" w:rsidRDefault="00D86D14" w:rsidP="00D86D14">
      <w:pPr>
        <w:spacing w:after="0" w:line="360" w:lineRule="auto"/>
        <w:ind w:firstLine="720"/>
        <w:jc w:val="both"/>
      </w:pPr>
      <w:r>
        <w:rPr>
          <w:rFonts w:ascii="Liberation Serif" w:hAnsi="Liberation Serif" w:cs="Times New Roman"/>
          <w:sz w:val="28"/>
          <w:szCs w:val="28"/>
        </w:rPr>
        <w:t xml:space="preserve">Такая доля расходов населения на продовольствие очень высока не только на фоне наиболее экономически развитых стран мира, в которых эта статья расходов может занимать менее 10% ПДХ (США, </w:t>
      </w:r>
      <w:proofErr w:type="spellStart"/>
      <w:r>
        <w:rPr>
          <w:rFonts w:ascii="Liberation Serif" w:hAnsi="Liberation Serif" w:cs="Times New Roman"/>
          <w:sz w:val="28"/>
          <w:szCs w:val="28"/>
        </w:rPr>
        <w:t>Великобратания</w:t>
      </w:r>
      <w:proofErr w:type="spellEnd"/>
      <w:r>
        <w:rPr>
          <w:rFonts w:ascii="Liberation Serif" w:hAnsi="Liberation Serif" w:cs="Times New Roman"/>
          <w:sz w:val="28"/>
          <w:szCs w:val="28"/>
        </w:rPr>
        <w:t xml:space="preserve">, Австралия, Канада и другие). В сопоставимых с Россией по величине ППС на душу населения странах эта доля тоже заметно ниже: например, в Турции, Литве и Эстонии расходы на продовольствие лишь немногим превышают 20% ПДХ, а в большинстве других стран Восточной Европы находятся в диапазоне </w:t>
      </w:r>
      <w:proofErr w:type="gramStart"/>
      <w:r>
        <w:rPr>
          <w:rFonts w:ascii="Liberation Serif" w:hAnsi="Liberation Serif" w:cs="Times New Roman"/>
          <w:sz w:val="28"/>
          <w:szCs w:val="28"/>
        </w:rPr>
        <w:t>15-20</w:t>
      </w:r>
      <w:proofErr w:type="gramEnd"/>
      <w:r>
        <w:rPr>
          <w:rFonts w:ascii="Liberation Serif" w:hAnsi="Liberation Serif" w:cs="Times New Roman"/>
          <w:sz w:val="28"/>
          <w:szCs w:val="28"/>
        </w:rPr>
        <w:t xml:space="preserve">% ПДХ. </w:t>
      </w:r>
    </w:p>
    <w:p w14:paraId="535E0FA1" w14:textId="77777777" w:rsidR="00D86D14" w:rsidRDefault="00D86D14" w:rsidP="00D86D14">
      <w:pPr>
        <w:spacing w:after="0" w:line="360" w:lineRule="auto"/>
        <w:ind w:firstLine="567"/>
        <w:jc w:val="both"/>
        <w:rPr>
          <w:rFonts w:ascii="Liberation Serif" w:hAnsi="Liberation Serif" w:cs="Times New Roman"/>
          <w:sz w:val="28"/>
          <w:szCs w:val="28"/>
        </w:rPr>
      </w:pPr>
    </w:p>
    <w:p w14:paraId="5A8A6F0D" w14:textId="77777777" w:rsidR="00D86D14" w:rsidRDefault="00D86D14" w:rsidP="00D86D14">
      <w:pPr>
        <w:spacing w:after="0" w:line="360" w:lineRule="auto"/>
        <w:ind w:firstLine="567"/>
        <w:jc w:val="both"/>
      </w:pPr>
      <w:r>
        <w:rPr>
          <w:noProof/>
          <w:lang w:eastAsia="ru-RU"/>
        </w:rPr>
        <w:drawing>
          <wp:inline distT="0" distB="0" distL="0" distR="0" wp14:anchorId="5B243FA1" wp14:editId="18A9E858">
            <wp:extent cx="4914900" cy="2849880"/>
            <wp:effectExtent l="0" t="0" r="0" b="0"/>
            <wp:docPr id="33"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pic:cNvPicPr>
                      <a:picLocks noChangeAspect="1" noChangeArrowheads="1"/>
                    </pic:cNvPicPr>
                  </pic:nvPicPr>
                  <pic:blipFill>
                    <a:blip r:embed="rId10"/>
                    <a:stretch>
                      <a:fillRect/>
                    </a:stretch>
                  </pic:blipFill>
                  <pic:spPr bwMode="auto">
                    <a:xfrm>
                      <a:off x="0" y="0"/>
                      <a:ext cx="4914900" cy="2849880"/>
                    </a:xfrm>
                    <a:prstGeom prst="rect">
                      <a:avLst/>
                    </a:prstGeom>
                  </pic:spPr>
                </pic:pic>
              </a:graphicData>
            </a:graphic>
          </wp:inline>
        </w:drawing>
      </w:r>
    </w:p>
    <w:p w14:paraId="0BD31E37" w14:textId="77777777" w:rsidR="00D86D14" w:rsidRDefault="00D86D14" w:rsidP="00D86D14">
      <w:pPr>
        <w:spacing w:after="0" w:line="360" w:lineRule="auto"/>
        <w:ind w:firstLine="567"/>
        <w:jc w:val="center"/>
      </w:pPr>
      <w:r w:rsidRPr="00ED40E0">
        <w:rPr>
          <w:rFonts w:ascii="Liberation Serif" w:hAnsi="Liberation Serif" w:cs="Times New Roman"/>
          <w:sz w:val="28"/>
          <w:szCs w:val="28"/>
        </w:rPr>
        <w:t>Рис. 1.3. Динамика расходов российских домашних хозяйств на</w:t>
      </w:r>
      <w:r>
        <w:rPr>
          <w:rFonts w:ascii="Liberation Serif" w:hAnsi="Liberation Serif"/>
          <w:sz w:val="28"/>
          <w:szCs w:val="28"/>
        </w:rPr>
        <w:t xml:space="preserve"> продовольствие</w:t>
      </w:r>
    </w:p>
    <w:p w14:paraId="3D3AEB50" w14:textId="77777777" w:rsidR="00D86D14" w:rsidRDefault="00D86D14" w:rsidP="00D86D14">
      <w:pPr>
        <w:spacing w:after="0" w:line="360" w:lineRule="auto"/>
        <w:ind w:firstLine="567"/>
        <w:jc w:val="both"/>
      </w:pPr>
      <w:r>
        <w:rPr>
          <w:rFonts w:ascii="Liberation Serif" w:hAnsi="Liberation Serif"/>
          <w:sz w:val="24"/>
          <w:szCs w:val="24"/>
        </w:rPr>
        <w:t>Источник: расчеты ИНП РАН по данным Росстата</w:t>
      </w:r>
    </w:p>
    <w:p w14:paraId="186232E8" w14:textId="77777777" w:rsidR="00D86D14" w:rsidRDefault="00D86D14" w:rsidP="00D86D14">
      <w:pPr>
        <w:spacing w:after="0" w:line="360" w:lineRule="auto"/>
        <w:ind w:firstLine="567"/>
        <w:jc w:val="both"/>
        <w:rPr>
          <w:rFonts w:ascii="Liberation Serif" w:hAnsi="Liberation Serif"/>
          <w:sz w:val="28"/>
          <w:szCs w:val="28"/>
        </w:rPr>
      </w:pPr>
    </w:p>
    <w:p w14:paraId="0A47B5C4" w14:textId="77777777" w:rsidR="00D86D14" w:rsidRDefault="00D86D14" w:rsidP="00D86D14">
      <w:pPr>
        <w:spacing w:after="0" w:line="360" w:lineRule="auto"/>
        <w:ind w:firstLine="720"/>
        <w:jc w:val="both"/>
        <w:rPr>
          <w:rFonts w:ascii="Liberation Serif" w:hAnsi="Liberation Serif" w:cs="Times New Roman"/>
          <w:sz w:val="28"/>
          <w:szCs w:val="28"/>
        </w:rPr>
      </w:pPr>
      <w:r>
        <w:rPr>
          <w:rFonts w:ascii="Liberation Serif" w:hAnsi="Liberation Serif" w:cs="Times New Roman"/>
          <w:sz w:val="28"/>
          <w:szCs w:val="28"/>
        </w:rPr>
        <w:t>Помимо стабильной доли расходов на продовольствие, можно выделить еще несколько особенностей структуры потребления российских домашних хозяйств (</w:t>
      </w:r>
      <w:r w:rsidRPr="00ED40E0">
        <w:rPr>
          <w:rFonts w:ascii="Liberation Serif" w:hAnsi="Liberation Serif" w:cs="Times New Roman"/>
          <w:sz w:val="28"/>
          <w:szCs w:val="28"/>
        </w:rPr>
        <w:t>таблица 1.1</w:t>
      </w:r>
      <w:r>
        <w:rPr>
          <w:rFonts w:ascii="Liberation Serif" w:hAnsi="Liberation Serif" w:cs="Times New Roman"/>
          <w:sz w:val="28"/>
          <w:szCs w:val="28"/>
        </w:rPr>
        <w:t>):</w:t>
      </w:r>
    </w:p>
    <w:p w14:paraId="7C14DE9D" w14:textId="77777777" w:rsidR="00D86D14" w:rsidRDefault="00D86D14" w:rsidP="00D86D14">
      <w:pPr>
        <w:numPr>
          <w:ilvl w:val="0"/>
          <w:numId w:val="29"/>
        </w:numPr>
        <w:suppressAutoHyphens/>
        <w:spacing w:after="0" w:line="360" w:lineRule="auto"/>
        <w:ind w:left="0" w:firstLine="720"/>
        <w:jc w:val="both"/>
        <w:rPr>
          <w:rFonts w:ascii="Liberation Serif" w:hAnsi="Liberation Serif" w:cs="Times New Roman"/>
          <w:sz w:val="28"/>
          <w:szCs w:val="28"/>
        </w:rPr>
      </w:pPr>
      <w:r>
        <w:rPr>
          <w:rFonts w:ascii="Liberation Serif" w:hAnsi="Liberation Serif" w:cs="Times New Roman"/>
          <w:sz w:val="28"/>
          <w:szCs w:val="28"/>
        </w:rPr>
        <w:t xml:space="preserve">Снижение доли затрат на «Одежду и обувь» и рост - на «Другие товары и услуги» </w:t>
      </w:r>
      <w:proofErr w:type="gramStart"/>
      <w:r>
        <w:rPr>
          <w:rFonts w:ascii="Liberation Serif" w:hAnsi="Liberation Serif" w:cs="Times New Roman"/>
          <w:sz w:val="28"/>
          <w:szCs w:val="28"/>
        </w:rPr>
        <w:t>- это</w:t>
      </w:r>
      <w:proofErr w:type="gramEnd"/>
      <w:r>
        <w:rPr>
          <w:rFonts w:ascii="Liberation Serif" w:hAnsi="Liberation Serif" w:cs="Times New Roman"/>
          <w:sz w:val="28"/>
          <w:szCs w:val="28"/>
        </w:rPr>
        <w:t xml:space="preserve"> согласуется с ожидаемой реакцией потребительского спроса на рост реальных доходов;</w:t>
      </w:r>
    </w:p>
    <w:p w14:paraId="47AD3900" w14:textId="77777777" w:rsidR="00D86D14" w:rsidRDefault="00D86D14" w:rsidP="00D86D14">
      <w:pPr>
        <w:numPr>
          <w:ilvl w:val="0"/>
          <w:numId w:val="29"/>
        </w:numPr>
        <w:suppressAutoHyphens/>
        <w:spacing w:after="0" w:line="360" w:lineRule="auto"/>
        <w:ind w:left="0" w:firstLine="720"/>
        <w:jc w:val="both"/>
        <w:rPr>
          <w:rFonts w:ascii="Liberation Serif" w:hAnsi="Liberation Serif" w:cs="Times New Roman"/>
          <w:sz w:val="28"/>
          <w:szCs w:val="28"/>
        </w:rPr>
      </w:pPr>
      <w:r>
        <w:rPr>
          <w:rFonts w:ascii="Liberation Serif" w:hAnsi="Liberation Serif" w:cs="Times New Roman"/>
          <w:sz w:val="28"/>
          <w:szCs w:val="28"/>
        </w:rPr>
        <w:t>Фиктивный рост доли затрат на «Жилищные услуги, воду, электроэнергию, газ и другие виды топлива» - он связан с учетом с СНС08 вмененной ренты, не учитываемой в СНС93;</w:t>
      </w:r>
    </w:p>
    <w:p w14:paraId="5B709A87" w14:textId="77777777" w:rsidR="00D86D14" w:rsidRDefault="00D86D14" w:rsidP="00D86D14">
      <w:pPr>
        <w:numPr>
          <w:ilvl w:val="0"/>
          <w:numId w:val="29"/>
        </w:numPr>
        <w:suppressAutoHyphens/>
        <w:spacing w:after="0" w:line="360" w:lineRule="auto"/>
        <w:ind w:left="0" w:firstLine="720"/>
        <w:jc w:val="both"/>
        <w:rPr>
          <w:rFonts w:ascii="Liberation Serif" w:hAnsi="Liberation Serif" w:cs="Times New Roman"/>
          <w:sz w:val="28"/>
          <w:szCs w:val="28"/>
        </w:rPr>
      </w:pPr>
      <w:r>
        <w:rPr>
          <w:rFonts w:ascii="Liberation Serif" w:hAnsi="Liberation Serif" w:cs="Times New Roman"/>
          <w:sz w:val="28"/>
          <w:szCs w:val="28"/>
        </w:rPr>
        <w:t>Стабильность долей расходов на ряд групп товаров и услуг: «Предметы домашнего обихода, бытовую технику и повседневный уход за домом», «Транспорт», «Связь, «Организацию отдыха и культурные мероприятия», «Образование», «Гостиницы, кафе и рестораны».</w:t>
      </w:r>
    </w:p>
    <w:p w14:paraId="09E50B9B" w14:textId="77777777" w:rsidR="00D86D14" w:rsidRDefault="00D86D14" w:rsidP="00D86D14">
      <w:pPr>
        <w:spacing w:after="0" w:line="360" w:lineRule="auto"/>
        <w:ind w:firstLine="720"/>
        <w:jc w:val="both"/>
      </w:pPr>
      <w:r>
        <w:rPr>
          <w:rFonts w:ascii="Liberation Serif" w:hAnsi="Liberation Serif" w:cs="Times New Roman"/>
          <w:sz w:val="28"/>
          <w:szCs w:val="28"/>
        </w:rPr>
        <w:t>Последний из перечисленных пунктов в сочетании уже упомянутой стабильной долей расходов на продовольствие позволяет говорить о стабильности общей структуры расходов российских домашних хозяйств как о ее основной особенности. В значительной степени это объясняется тем, что рост цен был, как правило, ниже для тех групп товаров и услуг, физический объем потребления которых вырос в наибольшей степени, и наоборот (здесь для оценки роста цен используется индекс-дефлятор ПДХ для отдельных групп товаров и услуг).</w:t>
      </w:r>
    </w:p>
    <w:p w14:paraId="32FAF5A1" w14:textId="77777777" w:rsidR="00D86D14" w:rsidRDefault="00D86D14" w:rsidP="00D86D14">
      <w:pPr>
        <w:spacing w:after="0" w:line="360" w:lineRule="auto"/>
        <w:ind w:firstLine="720"/>
        <w:jc w:val="both"/>
        <w:rPr>
          <w:rFonts w:ascii="Liberation Serif" w:hAnsi="Liberation Serif" w:cs="Times New Roman"/>
          <w:sz w:val="28"/>
          <w:szCs w:val="28"/>
        </w:rPr>
      </w:pPr>
    </w:p>
    <w:p w14:paraId="60ADDD6E" w14:textId="77777777" w:rsidR="00D86D14" w:rsidRDefault="00D86D14" w:rsidP="00D86D14">
      <w:pPr>
        <w:spacing w:after="0" w:line="360" w:lineRule="auto"/>
        <w:jc w:val="center"/>
      </w:pPr>
      <w:r w:rsidRPr="00ED40E0">
        <w:rPr>
          <w:rFonts w:ascii="Liberation Serif" w:hAnsi="Liberation Serif" w:cs="Times New Roman"/>
          <w:sz w:val="28"/>
          <w:szCs w:val="28"/>
        </w:rPr>
        <w:t>Таблица 1.1</w:t>
      </w:r>
      <w:r>
        <w:rPr>
          <w:rFonts w:ascii="Liberation Serif" w:hAnsi="Liberation Serif" w:cs="Times New Roman"/>
          <w:sz w:val="28"/>
          <w:szCs w:val="28"/>
        </w:rPr>
        <w:t xml:space="preserve">. Характеристики расходов на ПДХ в России в разрезе разделов КИПЦ в </w:t>
      </w:r>
      <w:proofErr w:type="gramStart"/>
      <w:r>
        <w:rPr>
          <w:rFonts w:ascii="Liberation Serif" w:hAnsi="Liberation Serif" w:cs="Times New Roman"/>
          <w:sz w:val="28"/>
          <w:szCs w:val="28"/>
        </w:rPr>
        <w:t>2004-2018</w:t>
      </w:r>
      <w:proofErr w:type="gramEnd"/>
      <w:r>
        <w:rPr>
          <w:rFonts w:ascii="Liberation Serif" w:hAnsi="Liberation Serif" w:cs="Times New Roman"/>
          <w:sz w:val="28"/>
          <w:szCs w:val="28"/>
        </w:rPr>
        <w:t xml:space="preserve"> гг.</w:t>
      </w:r>
    </w:p>
    <w:tbl>
      <w:tblPr>
        <w:tblW w:w="9355" w:type="dxa"/>
        <w:tblInd w:w="28" w:type="dxa"/>
        <w:tblLayout w:type="fixed"/>
        <w:tblCellMar>
          <w:top w:w="28" w:type="dxa"/>
          <w:left w:w="28" w:type="dxa"/>
          <w:bottom w:w="28" w:type="dxa"/>
          <w:right w:w="0" w:type="dxa"/>
        </w:tblCellMar>
        <w:tblLook w:val="04A0" w:firstRow="1" w:lastRow="0" w:firstColumn="1" w:lastColumn="0" w:noHBand="0" w:noVBand="1"/>
      </w:tblPr>
      <w:tblGrid>
        <w:gridCol w:w="3570"/>
        <w:gridCol w:w="910"/>
        <w:gridCol w:w="904"/>
        <w:gridCol w:w="1931"/>
        <w:gridCol w:w="2040"/>
      </w:tblGrid>
      <w:tr w:rsidR="00D86D14" w14:paraId="72B7E9F8" w14:textId="77777777" w:rsidTr="00D86D14">
        <w:tc>
          <w:tcPr>
            <w:tcW w:w="3570" w:type="dxa"/>
            <w:vMerge w:val="restart"/>
            <w:tcBorders>
              <w:top w:val="single" w:sz="2" w:space="0" w:color="000000"/>
              <w:left w:val="single" w:sz="2" w:space="0" w:color="000000"/>
              <w:bottom w:val="single" w:sz="2" w:space="0" w:color="000000"/>
            </w:tcBorders>
            <w:vAlign w:val="center"/>
          </w:tcPr>
          <w:p w14:paraId="0914AACB" w14:textId="77777777" w:rsidR="00D86D14" w:rsidRDefault="00D86D14" w:rsidP="00D86D14">
            <w:pPr>
              <w:pStyle w:val="aff1"/>
              <w:spacing w:after="0"/>
              <w:rPr>
                <w:rFonts w:ascii="Liberation Serif" w:hAnsi="Liberation Serif"/>
                <w:sz w:val="20"/>
                <w:szCs w:val="20"/>
              </w:rPr>
            </w:pPr>
          </w:p>
        </w:tc>
        <w:tc>
          <w:tcPr>
            <w:tcW w:w="1814" w:type="dxa"/>
            <w:gridSpan w:val="2"/>
            <w:tcBorders>
              <w:top w:val="single" w:sz="2" w:space="0" w:color="000000"/>
              <w:bottom w:val="single" w:sz="2" w:space="0" w:color="000000"/>
            </w:tcBorders>
            <w:tcMar>
              <w:left w:w="0" w:type="dxa"/>
            </w:tcMar>
            <w:vAlign w:val="center"/>
          </w:tcPr>
          <w:p w14:paraId="78E8DB73"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Структура ПДХ, %</w:t>
            </w:r>
          </w:p>
        </w:tc>
        <w:tc>
          <w:tcPr>
            <w:tcW w:w="1931" w:type="dxa"/>
            <w:vMerge w:val="restart"/>
            <w:tcBorders>
              <w:top w:val="single" w:sz="2" w:space="0" w:color="000000"/>
              <w:bottom w:val="single" w:sz="2" w:space="0" w:color="000000"/>
            </w:tcBorders>
            <w:tcMar>
              <w:left w:w="0" w:type="dxa"/>
            </w:tcMar>
            <w:vAlign w:val="center"/>
          </w:tcPr>
          <w:p w14:paraId="1837C357"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Физический объем ПДХ на душу населения в 2018 г., 2004 = 1</w:t>
            </w:r>
          </w:p>
        </w:tc>
        <w:tc>
          <w:tcPr>
            <w:tcW w:w="2040" w:type="dxa"/>
            <w:vMerge w:val="restart"/>
            <w:tcBorders>
              <w:top w:val="single" w:sz="2" w:space="0" w:color="000000"/>
              <w:bottom w:val="single" w:sz="2" w:space="0" w:color="000000"/>
              <w:right w:val="single" w:sz="2" w:space="0" w:color="000000"/>
            </w:tcBorders>
            <w:tcMar>
              <w:left w:w="0" w:type="dxa"/>
              <w:right w:w="28" w:type="dxa"/>
            </w:tcMar>
            <w:vAlign w:val="center"/>
          </w:tcPr>
          <w:p w14:paraId="2E4D9E1F"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Индекс-дефлятор ПДХ в 2018 г., 2004 = 1</w:t>
            </w:r>
          </w:p>
        </w:tc>
      </w:tr>
      <w:tr w:rsidR="00D86D14" w14:paraId="4F552932" w14:textId="77777777" w:rsidTr="00D86D14">
        <w:trPr>
          <w:trHeight w:val="524"/>
        </w:trPr>
        <w:tc>
          <w:tcPr>
            <w:tcW w:w="3570" w:type="dxa"/>
            <w:vMerge/>
            <w:tcBorders>
              <w:top w:val="single" w:sz="2" w:space="0" w:color="000000"/>
              <w:left w:val="single" w:sz="2" w:space="0" w:color="000000"/>
              <w:bottom w:val="single" w:sz="2" w:space="0" w:color="000000"/>
            </w:tcBorders>
            <w:vAlign w:val="center"/>
          </w:tcPr>
          <w:p w14:paraId="1497BFB7" w14:textId="77777777" w:rsidR="00D86D14" w:rsidRDefault="00D86D14" w:rsidP="00D86D14">
            <w:pPr>
              <w:pStyle w:val="aff1"/>
              <w:spacing w:after="0"/>
              <w:rPr>
                <w:rFonts w:ascii="Liberation Serif" w:hAnsi="Liberation Serif"/>
                <w:sz w:val="20"/>
                <w:szCs w:val="20"/>
              </w:rPr>
            </w:pPr>
          </w:p>
        </w:tc>
        <w:tc>
          <w:tcPr>
            <w:tcW w:w="910" w:type="dxa"/>
            <w:tcBorders>
              <w:top w:val="single" w:sz="2" w:space="0" w:color="000000"/>
              <w:bottom w:val="single" w:sz="2" w:space="0" w:color="000000"/>
            </w:tcBorders>
            <w:tcMar>
              <w:left w:w="0" w:type="dxa"/>
            </w:tcMar>
            <w:vAlign w:val="center"/>
          </w:tcPr>
          <w:p w14:paraId="1CA28342"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2004 (СНС93)</w:t>
            </w:r>
          </w:p>
        </w:tc>
        <w:tc>
          <w:tcPr>
            <w:tcW w:w="904" w:type="dxa"/>
            <w:tcBorders>
              <w:top w:val="single" w:sz="2" w:space="0" w:color="000000"/>
              <w:bottom w:val="single" w:sz="2" w:space="0" w:color="000000"/>
            </w:tcBorders>
            <w:tcMar>
              <w:left w:w="0" w:type="dxa"/>
            </w:tcMar>
            <w:vAlign w:val="center"/>
          </w:tcPr>
          <w:p w14:paraId="2192422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2018 (СНС08)</w:t>
            </w:r>
          </w:p>
        </w:tc>
        <w:tc>
          <w:tcPr>
            <w:tcW w:w="1931" w:type="dxa"/>
            <w:vMerge/>
            <w:tcBorders>
              <w:top w:val="single" w:sz="2" w:space="0" w:color="000000"/>
              <w:bottom w:val="single" w:sz="2" w:space="0" w:color="000000"/>
            </w:tcBorders>
            <w:tcMar>
              <w:left w:w="0" w:type="dxa"/>
            </w:tcMar>
            <w:vAlign w:val="center"/>
          </w:tcPr>
          <w:p w14:paraId="0300E7CE" w14:textId="77777777" w:rsidR="00D86D14" w:rsidRDefault="00D86D14" w:rsidP="00D86D14">
            <w:pPr>
              <w:pStyle w:val="aff1"/>
              <w:spacing w:after="0"/>
              <w:rPr>
                <w:rFonts w:ascii="Liberation Serif" w:hAnsi="Liberation Serif"/>
                <w:sz w:val="20"/>
                <w:szCs w:val="20"/>
              </w:rPr>
            </w:pPr>
          </w:p>
        </w:tc>
        <w:tc>
          <w:tcPr>
            <w:tcW w:w="2040" w:type="dxa"/>
            <w:vMerge/>
            <w:tcBorders>
              <w:top w:val="single" w:sz="2" w:space="0" w:color="000000"/>
              <w:bottom w:val="single" w:sz="2" w:space="0" w:color="000000"/>
              <w:right w:val="single" w:sz="2" w:space="0" w:color="000000"/>
            </w:tcBorders>
            <w:tcMar>
              <w:left w:w="0" w:type="dxa"/>
              <w:right w:w="28" w:type="dxa"/>
            </w:tcMar>
            <w:vAlign w:val="center"/>
          </w:tcPr>
          <w:p w14:paraId="54C97332" w14:textId="77777777" w:rsidR="00D86D14" w:rsidRDefault="00D86D14" w:rsidP="00D86D14">
            <w:pPr>
              <w:pStyle w:val="aff1"/>
              <w:spacing w:after="0"/>
              <w:rPr>
                <w:rFonts w:ascii="Liberation Serif" w:hAnsi="Liberation Serif"/>
                <w:sz w:val="20"/>
                <w:szCs w:val="20"/>
              </w:rPr>
            </w:pPr>
          </w:p>
        </w:tc>
      </w:tr>
      <w:tr w:rsidR="00D86D14" w14:paraId="3186F05F"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11A4074" w14:textId="77777777" w:rsidR="00D86D14" w:rsidRDefault="00D86D14" w:rsidP="00D86D14">
            <w:pPr>
              <w:pStyle w:val="aff1"/>
              <w:spacing w:after="0"/>
              <w:rPr>
                <w:rFonts w:ascii="Liberation Serif" w:hAnsi="Liberation Serif"/>
                <w:sz w:val="20"/>
                <w:szCs w:val="20"/>
              </w:rPr>
            </w:pPr>
            <w:r>
              <w:rPr>
                <w:rFonts w:ascii="Liberation Serif" w:hAnsi="Liberation Serif"/>
                <w:sz w:val="20"/>
                <w:szCs w:val="20"/>
              </w:rPr>
              <w:t>ПДХ – всего</w:t>
            </w:r>
          </w:p>
        </w:tc>
        <w:tc>
          <w:tcPr>
            <w:tcW w:w="910" w:type="dxa"/>
            <w:tcBorders>
              <w:top w:val="single" w:sz="2" w:space="0" w:color="000000"/>
              <w:bottom w:val="single" w:sz="2" w:space="0" w:color="000000"/>
            </w:tcBorders>
            <w:tcMar>
              <w:left w:w="0" w:type="dxa"/>
            </w:tcMar>
            <w:vAlign w:val="center"/>
          </w:tcPr>
          <w:p w14:paraId="37275B1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100</w:t>
            </w:r>
          </w:p>
        </w:tc>
        <w:tc>
          <w:tcPr>
            <w:tcW w:w="904" w:type="dxa"/>
            <w:tcBorders>
              <w:top w:val="single" w:sz="2" w:space="0" w:color="000000"/>
              <w:bottom w:val="single" w:sz="2" w:space="0" w:color="000000"/>
            </w:tcBorders>
            <w:tcMar>
              <w:left w:w="0" w:type="dxa"/>
            </w:tcMar>
            <w:vAlign w:val="center"/>
          </w:tcPr>
          <w:p w14:paraId="7BDE36A0"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100</w:t>
            </w:r>
          </w:p>
        </w:tc>
        <w:tc>
          <w:tcPr>
            <w:tcW w:w="1931" w:type="dxa"/>
            <w:tcBorders>
              <w:top w:val="single" w:sz="2" w:space="0" w:color="000000"/>
              <w:bottom w:val="single" w:sz="2" w:space="0" w:color="000000"/>
            </w:tcBorders>
            <w:tcMar>
              <w:left w:w="0" w:type="dxa"/>
            </w:tcMar>
            <w:vAlign w:val="center"/>
          </w:tcPr>
          <w:p w14:paraId="16E29DF3"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1.81</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0ED236A4"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2.98</w:t>
            </w:r>
          </w:p>
        </w:tc>
      </w:tr>
      <w:tr w:rsidR="00D86D14" w14:paraId="5D9E1DEF"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20C0283B"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Продукты питания и безалкогольные напитки</w:t>
            </w:r>
          </w:p>
        </w:tc>
        <w:tc>
          <w:tcPr>
            <w:tcW w:w="910" w:type="dxa"/>
            <w:tcBorders>
              <w:top w:val="single" w:sz="2" w:space="0" w:color="000000"/>
              <w:bottom w:val="single" w:sz="2" w:space="0" w:color="000000"/>
            </w:tcBorders>
            <w:tcMar>
              <w:left w:w="0" w:type="dxa"/>
            </w:tcMar>
            <w:vAlign w:val="center"/>
          </w:tcPr>
          <w:p w14:paraId="06D4305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30.4</w:t>
            </w:r>
          </w:p>
        </w:tc>
        <w:tc>
          <w:tcPr>
            <w:tcW w:w="904" w:type="dxa"/>
            <w:tcBorders>
              <w:top w:val="single" w:sz="2" w:space="0" w:color="000000"/>
              <w:bottom w:val="single" w:sz="2" w:space="0" w:color="000000"/>
            </w:tcBorders>
            <w:tcMar>
              <w:left w:w="0" w:type="dxa"/>
            </w:tcMar>
            <w:vAlign w:val="center"/>
          </w:tcPr>
          <w:p w14:paraId="154FF37F"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24.1</w:t>
            </w:r>
          </w:p>
        </w:tc>
        <w:tc>
          <w:tcPr>
            <w:tcW w:w="1931" w:type="dxa"/>
            <w:tcBorders>
              <w:top w:val="single" w:sz="2" w:space="0" w:color="000000"/>
              <w:bottom w:val="single" w:sz="2" w:space="0" w:color="000000"/>
            </w:tcBorders>
            <w:tcMar>
              <w:left w:w="0" w:type="dxa"/>
            </w:tcMar>
            <w:vAlign w:val="center"/>
          </w:tcPr>
          <w:p w14:paraId="373CF9D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1.54</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3949C1D7"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3.14</w:t>
            </w:r>
          </w:p>
        </w:tc>
      </w:tr>
      <w:tr w:rsidR="00D86D14" w14:paraId="6EBDDAD0"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5EF48F2"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Алкогольные напитки, табачные изделия</w:t>
            </w:r>
          </w:p>
        </w:tc>
        <w:tc>
          <w:tcPr>
            <w:tcW w:w="910" w:type="dxa"/>
            <w:tcBorders>
              <w:top w:val="single" w:sz="2" w:space="0" w:color="000000"/>
              <w:bottom w:val="single" w:sz="2" w:space="0" w:color="000000"/>
            </w:tcBorders>
            <w:tcMar>
              <w:left w:w="0" w:type="dxa"/>
            </w:tcMar>
            <w:vAlign w:val="center"/>
          </w:tcPr>
          <w:p w14:paraId="17CE2DB4"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8.4</w:t>
            </w:r>
          </w:p>
        </w:tc>
        <w:tc>
          <w:tcPr>
            <w:tcW w:w="904" w:type="dxa"/>
            <w:tcBorders>
              <w:top w:val="single" w:sz="2" w:space="0" w:color="000000"/>
              <w:bottom w:val="single" w:sz="2" w:space="0" w:color="000000"/>
            </w:tcBorders>
            <w:tcMar>
              <w:left w:w="0" w:type="dxa"/>
            </w:tcMar>
            <w:vAlign w:val="center"/>
          </w:tcPr>
          <w:p w14:paraId="5BBC184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6.9</w:t>
            </w:r>
          </w:p>
        </w:tc>
        <w:tc>
          <w:tcPr>
            <w:tcW w:w="1931" w:type="dxa"/>
            <w:tcBorders>
              <w:top w:val="single" w:sz="2" w:space="0" w:color="000000"/>
              <w:bottom w:val="single" w:sz="2" w:space="0" w:color="000000"/>
            </w:tcBorders>
            <w:tcMar>
              <w:left w:w="0" w:type="dxa"/>
            </w:tcMar>
            <w:vAlign w:val="center"/>
          </w:tcPr>
          <w:p w14:paraId="59FD0781"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1.28</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5B15CF48"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4.31</w:t>
            </w:r>
          </w:p>
        </w:tc>
      </w:tr>
      <w:tr w:rsidR="00D86D14" w14:paraId="2D4A568C"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04805FB8"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Одежда и обувь</w:t>
            </w:r>
          </w:p>
        </w:tc>
        <w:tc>
          <w:tcPr>
            <w:tcW w:w="910" w:type="dxa"/>
            <w:tcBorders>
              <w:top w:val="single" w:sz="2" w:space="0" w:color="000000"/>
              <w:bottom w:val="single" w:sz="2" w:space="0" w:color="000000"/>
            </w:tcBorders>
            <w:tcMar>
              <w:left w:w="0" w:type="dxa"/>
            </w:tcMar>
            <w:vAlign w:val="center"/>
          </w:tcPr>
          <w:p w14:paraId="4BE4B69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10.3</w:t>
            </w:r>
          </w:p>
        </w:tc>
        <w:tc>
          <w:tcPr>
            <w:tcW w:w="904" w:type="dxa"/>
            <w:tcBorders>
              <w:top w:val="single" w:sz="2" w:space="0" w:color="000000"/>
              <w:bottom w:val="single" w:sz="2" w:space="0" w:color="000000"/>
            </w:tcBorders>
            <w:tcMar>
              <w:left w:w="0" w:type="dxa"/>
            </w:tcMar>
            <w:vAlign w:val="center"/>
          </w:tcPr>
          <w:p w14:paraId="203D80CB"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5.9</w:t>
            </w:r>
          </w:p>
        </w:tc>
        <w:tc>
          <w:tcPr>
            <w:tcW w:w="1931" w:type="dxa"/>
            <w:tcBorders>
              <w:top w:val="single" w:sz="2" w:space="0" w:color="000000"/>
              <w:bottom w:val="single" w:sz="2" w:space="0" w:color="000000"/>
            </w:tcBorders>
            <w:tcMar>
              <w:left w:w="0" w:type="dxa"/>
            </w:tcMar>
            <w:vAlign w:val="center"/>
          </w:tcPr>
          <w:p w14:paraId="7282BF97"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1.26</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1CFCE783"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3.58</w:t>
            </w:r>
          </w:p>
        </w:tc>
      </w:tr>
      <w:tr w:rsidR="00D86D14" w14:paraId="7D47483D" w14:textId="77777777" w:rsidTr="00D86D14">
        <w:trPr>
          <w:trHeight w:val="536"/>
        </w:trPr>
        <w:tc>
          <w:tcPr>
            <w:tcW w:w="3570" w:type="dxa"/>
            <w:tcBorders>
              <w:top w:val="single" w:sz="2" w:space="0" w:color="000000"/>
              <w:left w:val="single" w:sz="2" w:space="0" w:color="000000"/>
              <w:bottom w:val="single" w:sz="2" w:space="0" w:color="000000"/>
            </w:tcBorders>
            <w:vAlign w:val="center"/>
          </w:tcPr>
          <w:p w14:paraId="17E6F70D"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Жилищные услуги, вода, электроэнергия, газ и другие виды топлива</w:t>
            </w:r>
          </w:p>
        </w:tc>
        <w:tc>
          <w:tcPr>
            <w:tcW w:w="910" w:type="dxa"/>
            <w:tcBorders>
              <w:top w:val="single" w:sz="2" w:space="0" w:color="000000"/>
              <w:bottom w:val="single" w:sz="2" w:space="0" w:color="000000"/>
            </w:tcBorders>
            <w:tcMar>
              <w:left w:w="0" w:type="dxa"/>
            </w:tcMar>
            <w:vAlign w:val="center"/>
          </w:tcPr>
          <w:p w14:paraId="12A07E6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8.5</w:t>
            </w:r>
          </w:p>
        </w:tc>
        <w:tc>
          <w:tcPr>
            <w:tcW w:w="904" w:type="dxa"/>
            <w:tcBorders>
              <w:top w:val="single" w:sz="2" w:space="0" w:color="000000"/>
              <w:bottom w:val="single" w:sz="2" w:space="0" w:color="000000"/>
            </w:tcBorders>
            <w:tcMar>
              <w:left w:w="0" w:type="dxa"/>
            </w:tcMar>
            <w:vAlign w:val="center"/>
          </w:tcPr>
          <w:p w14:paraId="321EC0C3"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16.4</w:t>
            </w:r>
          </w:p>
        </w:tc>
        <w:tc>
          <w:tcPr>
            <w:tcW w:w="1931" w:type="dxa"/>
            <w:tcBorders>
              <w:top w:val="single" w:sz="2" w:space="0" w:color="000000"/>
              <w:bottom w:val="single" w:sz="2" w:space="0" w:color="000000"/>
            </w:tcBorders>
            <w:tcMar>
              <w:left w:w="0" w:type="dxa"/>
            </w:tcMar>
            <w:vAlign w:val="center"/>
          </w:tcPr>
          <w:p w14:paraId="60D5D64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1.37</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068A28AE"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4.11</w:t>
            </w:r>
          </w:p>
        </w:tc>
      </w:tr>
      <w:tr w:rsidR="00D86D14" w14:paraId="7CBFDDCC" w14:textId="77777777" w:rsidTr="00D86D14">
        <w:trPr>
          <w:trHeight w:val="536"/>
        </w:trPr>
        <w:tc>
          <w:tcPr>
            <w:tcW w:w="3570" w:type="dxa"/>
            <w:tcBorders>
              <w:top w:val="single" w:sz="2" w:space="0" w:color="000000"/>
              <w:left w:val="single" w:sz="2" w:space="0" w:color="000000"/>
              <w:bottom w:val="single" w:sz="2" w:space="0" w:color="000000"/>
            </w:tcBorders>
            <w:vAlign w:val="center"/>
          </w:tcPr>
          <w:p w14:paraId="32AB52BC"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Предметы домашнего обихода, бытовая техника и повседневный уход за домом</w:t>
            </w:r>
          </w:p>
        </w:tc>
        <w:tc>
          <w:tcPr>
            <w:tcW w:w="910" w:type="dxa"/>
            <w:tcBorders>
              <w:top w:val="single" w:sz="2" w:space="0" w:color="000000"/>
              <w:bottom w:val="single" w:sz="2" w:space="0" w:color="000000"/>
            </w:tcBorders>
            <w:tcMar>
              <w:left w:w="0" w:type="dxa"/>
            </w:tcMar>
            <w:vAlign w:val="center"/>
          </w:tcPr>
          <w:p w14:paraId="7191B27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5.3</w:t>
            </w:r>
          </w:p>
        </w:tc>
        <w:tc>
          <w:tcPr>
            <w:tcW w:w="904" w:type="dxa"/>
            <w:tcBorders>
              <w:top w:val="single" w:sz="2" w:space="0" w:color="000000"/>
              <w:bottom w:val="single" w:sz="2" w:space="0" w:color="000000"/>
            </w:tcBorders>
            <w:tcMar>
              <w:left w:w="0" w:type="dxa"/>
            </w:tcMar>
            <w:vAlign w:val="center"/>
          </w:tcPr>
          <w:p w14:paraId="7D78539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5.9</w:t>
            </w:r>
          </w:p>
        </w:tc>
        <w:tc>
          <w:tcPr>
            <w:tcW w:w="1931" w:type="dxa"/>
            <w:tcBorders>
              <w:top w:val="single" w:sz="2" w:space="0" w:color="000000"/>
              <w:bottom w:val="single" w:sz="2" w:space="0" w:color="000000"/>
            </w:tcBorders>
            <w:tcMar>
              <w:left w:w="0" w:type="dxa"/>
            </w:tcMar>
            <w:vAlign w:val="center"/>
          </w:tcPr>
          <w:p w14:paraId="0C2C02CE"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2.09</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0F7453CF"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2.24</w:t>
            </w:r>
          </w:p>
        </w:tc>
      </w:tr>
      <w:tr w:rsidR="00D86D14" w14:paraId="52C783CC"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67ACE4C0"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Здравоохранение</w:t>
            </w:r>
          </w:p>
        </w:tc>
        <w:tc>
          <w:tcPr>
            <w:tcW w:w="910" w:type="dxa"/>
            <w:tcBorders>
              <w:top w:val="single" w:sz="2" w:space="0" w:color="000000"/>
              <w:bottom w:val="single" w:sz="2" w:space="0" w:color="000000"/>
            </w:tcBorders>
            <w:tcMar>
              <w:left w:w="0" w:type="dxa"/>
            </w:tcMar>
            <w:vAlign w:val="center"/>
          </w:tcPr>
          <w:p w14:paraId="6ED08D83"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2.8</w:t>
            </w:r>
          </w:p>
        </w:tc>
        <w:tc>
          <w:tcPr>
            <w:tcW w:w="904" w:type="dxa"/>
            <w:tcBorders>
              <w:top w:val="single" w:sz="2" w:space="0" w:color="000000"/>
              <w:bottom w:val="single" w:sz="2" w:space="0" w:color="000000"/>
            </w:tcBorders>
            <w:tcMar>
              <w:left w:w="0" w:type="dxa"/>
            </w:tcMar>
            <w:vAlign w:val="center"/>
          </w:tcPr>
          <w:p w14:paraId="51D1CCC8"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4.5</w:t>
            </w:r>
          </w:p>
        </w:tc>
        <w:tc>
          <w:tcPr>
            <w:tcW w:w="1931" w:type="dxa"/>
            <w:tcBorders>
              <w:top w:val="single" w:sz="2" w:space="0" w:color="000000"/>
              <w:bottom w:val="single" w:sz="2" w:space="0" w:color="000000"/>
            </w:tcBorders>
            <w:tcMar>
              <w:left w:w="0" w:type="dxa"/>
            </w:tcMar>
            <w:vAlign w:val="center"/>
          </w:tcPr>
          <w:p w14:paraId="78A9E79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2.77</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2926DBB5"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3.89</w:t>
            </w:r>
          </w:p>
        </w:tc>
      </w:tr>
      <w:tr w:rsidR="00D86D14" w14:paraId="3212D55B"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4B18092B"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Транспорт</w:t>
            </w:r>
          </w:p>
        </w:tc>
        <w:tc>
          <w:tcPr>
            <w:tcW w:w="910" w:type="dxa"/>
            <w:tcBorders>
              <w:top w:val="single" w:sz="2" w:space="0" w:color="000000"/>
              <w:bottom w:val="single" w:sz="2" w:space="0" w:color="000000"/>
            </w:tcBorders>
            <w:tcMar>
              <w:left w:w="0" w:type="dxa"/>
            </w:tcMar>
            <w:vAlign w:val="center"/>
          </w:tcPr>
          <w:p w14:paraId="74248B3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11.6</w:t>
            </w:r>
          </w:p>
        </w:tc>
        <w:tc>
          <w:tcPr>
            <w:tcW w:w="904" w:type="dxa"/>
            <w:tcBorders>
              <w:top w:val="single" w:sz="2" w:space="0" w:color="000000"/>
              <w:bottom w:val="single" w:sz="2" w:space="0" w:color="000000"/>
            </w:tcBorders>
            <w:tcMar>
              <w:left w:w="0" w:type="dxa"/>
            </w:tcMar>
            <w:vAlign w:val="center"/>
          </w:tcPr>
          <w:p w14:paraId="38FD9998"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11.2</w:t>
            </w:r>
          </w:p>
        </w:tc>
        <w:tc>
          <w:tcPr>
            <w:tcW w:w="1931" w:type="dxa"/>
            <w:tcBorders>
              <w:top w:val="single" w:sz="2" w:space="0" w:color="000000"/>
              <w:bottom w:val="single" w:sz="2" w:space="0" w:color="000000"/>
            </w:tcBorders>
            <w:tcMar>
              <w:left w:w="0" w:type="dxa"/>
            </w:tcMar>
            <w:vAlign w:val="center"/>
          </w:tcPr>
          <w:p w14:paraId="73FA232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2.14</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5E244FB6"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2.49</w:t>
            </w:r>
          </w:p>
        </w:tc>
      </w:tr>
      <w:tr w:rsidR="00D86D14" w14:paraId="16642F6A"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78FCE8A"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Связь</w:t>
            </w:r>
          </w:p>
        </w:tc>
        <w:tc>
          <w:tcPr>
            <w:tcW w:w="910" w:type="dxa"/>
            <w:tcBorders>
              <w:top w:val="single" w:sz="2" w:space="0" w:color="000000"/>
              <w:bottom w:val="single" w:sz="2" w:space="0" w:color="000000"/>
            </w:tcBorders>
            <w:tcMar>
              <w:left w:w="0" w:type="dxa"/>
            </w:tcMar>
            <w:vAlign w:val="center"/>
          </w:tcPr>
          <w:p w14:paraId="02F34CBE"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4.8</w:t>
            </w:r>
          </w:p>
        </w:tc>
        <w:tc>
          <w:tcPr>
            <w:tcW w:w="904" w:type="dxa"/>
            <w:tcBorders>
              <w:top w:val="single" w:sz="2" w:space="0" w:color="000000"/>
              <w:bottom w:val="single" w:sz="2" w:space="0" w:color="000000"/>
            </w:tcBorders>
            <w:tcMar>
              <w:left w:w="0" w:type="dxa"/>
            </w:tcMar>
            <w:vAlign w:val="center"/>
          </w:tcPr>
          <w:p w14:paraId="4AD3C8E0"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3.5</w:t>
            </w:r>
          </w:p>
        </w:tc>
        <w:tc>
          <w:tcPr>
            <w:tcW w:w="1931" w:type="dxa"/>
            <w:tcBorders>
              <w:top w:val="single" w:sz="2" w:space="0" w:color="000000"/>
              <w:bottom w:val="single" w:sz="2" w:space="0" w:color="000000"/>
            </w:tcBorders>
            <w:tcMar>
              <w:left w:w="0" w:type="dxa"/>
            </w:tcMar>
            <w:vAlign w:val="center"/>
          </w:tcPr>
          <w:p w14:paraId="39CE0787"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3.31</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3003A1D5"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1.37</w:t>
            </w:r>
          </w:p>
        </w:tc>
      </w:tr>
      <w:tr w:rsidR="00D86D14" w14:paraId="2B2A98F2"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C7BB07B"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Организация отдыха и культурные мероприятия</w:t>
            </w:r>
          </w:p>
        </w:tc>
        <w:tc>
          <w:tcPr>
            <w:tcW w:w="910" w:type="dxa"/>
            <w:tcBorders>
              <w:top w:val="single" w:sz="2" w:space="0" w:color="000000"/>
              <w:bottom w:val="single" w:sz="2" w:space="0" w:color="000000"/>
            </w:tcBorders>
            <w:tcMar>
              <w:left w:w="0" w:type="dxa"/>
            </w:tcMar>
            <w:vAlign w:val="center"/>
          </w:tcPr>
          <w:p w14:paraId="502E104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5.0</w:t>
            </w:r>
          </w:p>
        </w:tc>
        <w:tc>
          <w:tcPr>
            <w:tcW w:w="904" w:type="dxa"/>
            <w:tcBorders>
              <w:top w:val="single" w:sz="2" w:space="0" w:color="000000"/>
              <w:bottom w:val="single" w:sz="2" w:space="0" w:color="000000"/>
            </w:tcBorders>
            <w:tcMar>
              <w:left w:w="0" w:type="dxa"/>
            </w:tcMar>
            <w:vAlign w:val="center"/>
          </w:tcPr>
          <w:p w14:paraId="1233A3CD"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6.3</w:t>
            </w:r>
          </w:p>
        </w:tc>
        <w:tc>
          <w:tcPr>
            <w:tcW w:w="1931" w:type="dxa"/>
            <w:tcBorders>
              <w:top w:val="single" w:sz="2" w:space="0" w:color="000000"/>
              <w:bottom w:val="single" w:sz="2" w:space="0" w:color="000000"/>
            </w:tcBorders>
            <w:tcMar>
              <w:left w:w="0" w:type="dxa"/>
            </w:tcMar>
            <w:vAlign w:val="center"/>
          </w:tcPr>
          <w:p w14:paraId="621FBCC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2.95</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769AC954"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2.45</w:t>
            </w:r>
          </w:p>
        </w:tc>
      </w:tr>
      <w:tr w:rsidR="00D86D14" w14:paraId="4EE67D50"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C3A5874"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Образование</w:t>
            </w:r>
          </w:p>
        </w:tc>
        <w:tc>
          <w:tcPr>
            <w:tcW w:w="910" w:type="dxa"/>
            <w:tcBorders>
              <w:top w:val="single" w:sz="2" w:space="0" w:color="000000"/>
              <w:bottom w:val="single" w:sz="2" w:space="0" w:color="000000"/>
            </w:tcBorders>
            <w:tcMar>
              <w:left w:w="0" w:type="dxa"/>
            </w:tcMar>
            <w:vAlign w:val="center"/>
          </w:tcPr>
          <w:p w14:paraId="05601A22"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1.1</w:t>
            </w:r>
          </w:p>
        </w:tc>
        <w:tc>
          <w:tcPr>
            <w:tcW w:w="904" w:type="dxa"/>
            <w:tcBorders>
              <w:top w:val="single" w:sz="2" w:space="0" w:color="000000"/>
              <w:bottom w:val="single" w:sz="2" w:space="0" w:color="000000"/>
            </w:tcBorders>
            <w:tcMar>
              <w:left w:w="0" w:type="dxa"/>
            </w:tcMar>
            <w:vAlign w:val="center"/>
          </w:tcPr>
          <w:p w14:paraId="52D7427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0.7</w:t>
            </w:r>
          </w:p>
        </w:tc>
        <w:tc>
          <w:tcPr>
            <w:tcW w:w="1931" w:type="dxa"/>
            <w:tcBorders>
              <w:top w:val="single" w:sz="2" w:space="0" w:color="000000"/>
              <w:bottom w:val="single" w:sz="2" w:space="0" w:color="000000"/>
            </w:tcBorders>
            <w:tcMar>
              <w:left w:w="0" w:type="dxa"/>
            </w:tcMar>
            <w:vAlign w:val="center"/>
          </w:tcPr>
          <w:p w14:paraId="271DF7A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1.18</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43B3418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4.41</w:t>
            </w:r>
          </w:p>
        </w:tc>
      </w:tr>
      <w:tr w:rsidR="00D86D14" w14:paraId="5BB734F5"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7B623DA6"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Гостиницы, кафе и рестораны</w:t>
            </w:r>
          </w:p>
        </w:tc>
        <w:tc>
          <w:tcPr>
            <w:tcW w:w="910" w:type="dxa"/>
            <w:tcBorders>
              <w:top w:val="single" w:sz="2" w:space="0" w:color="000000"/>
              <w:bottom w:val="single" w:sz="2" w:space="0" w:color="000000"/>
            </w:tcBorders>
            <w:tcMar>
              <w:left w:w="0" w:type="dxa"/>
            </w:tcMar>
            <w:vAlign w:val="center"/>
          </w:tcPr>
          <w:p w14:paraId="02E4167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3.3</w:t>
            </w:r>
          </w:p>
        </w:tc>
        <w:tc>
          <w:tcPr>
            <w:tcW w:w="904" w:type="dxa"/>
            <w:tcBorders>
              <w:top w:val="single" w:sz="2" w:space="0" w:color="000000"/>
              <w:bottom w:val="single" w:sz="2" w:space="0" w:color="000000"/>
            </w:tcBorders>
            <w:tcMar>
              <w:left w:w="0" w:type="dxa"/>
            </w:tcMar>
            <w:vAlign w:val="center"/>
          </w:tcPr>
          <w:p w14:paraId="033EDB87"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2.8</w:t>
            </w:r>
          </w:p>
        </w:tc>
        <w:tc>
          <w:tcPr>
            <w:tcW w:w="1931" w:type="dxa"/>
            <w:tcBorders>
              <w:top w:val="single" w:sz="2" w:space="0" w:color="000000"/>
              <w:bottom w:val="single" w:sz="2" w:space="0" w:color="000000"/>
            </w:tcBorders>
            <w:tcMar>
              <w:left w:w="0" w:type="dxa"/>
            </w:tcMar>
            <w:vAlign w:val="center"/>
          </w:tcPr>
          <w:p w14:paraId="1D788D09"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1.79</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34C74538"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2.99</w:t>
            </w:r>
          </w:p>
        </w:tc>
      </w:tr>
      <w:tr w:rsidR="00D86D14" w14:paraId="621C3DC6" w14:textId="77777777" w:rsidTr="00D86D14">
        <w:trPr>
          <w:trHeight w:val="311"/>
        </w:trPr>
        <w:tc>
          <w:tcPr>
            <w:tcW w:w="3570" w:type="dxa"/>
            <w:tcBorders>
              <w:top w:val="single" w:sz="2" w:space="0" w:color="000000"/>
              <w:left w:val="single" w:sz="2" w:space="0" w:color="000000"/>
              <w:bottom w:val="single" w:sz="2" w:space="0" w:color="000000"/>
            </w:tcBorders>
            <w:vAlign w:val="center"/>
          </w:tcPr>
          <w:p w14:paraId="1E777D03"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Другие товары и услуги</w:t>
            </w:r>
          </w:p>
        </w:tc>
        <w:tc>
          <w:tcPr>
            <w:tcW w:w="910" w:type="dxa"/>
            <w:tcBorders>
              <w:top w:val="single" w:sz="2" w:space="0" w:color="000000"/>
              <w:bottom w:val="single" w:sz="2" w:space="0" w:color="000000"/>
            </w:tcBorders>
            <w:tcMar>
              <w:left w:w="0" w:type="dxa"/>
            </w:tcMar>
            <w:vAlign w:val="center"/>
          </w:tcPr>
          <w:p w14:paraId="6903A60B"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5.1</w:t>
            </w:r>
          </w:p>
        </w:tc>
        <w:tc>
          <w:tcPr>
            <w:tcW w:w="904" w:type="dxa"/>
            <w:tcBorders>
              <w:top w:val="single" w:sz="2" w:space="0" w:color="000000"/>
              <w:bottom w:val="single" w:sz="2" w:space="0" w:color="000000"/>
            </w:tcBorders>
            <w:tcMar>
              <w:left w:w="0" w:type="dxa"/>
            </w:tcMar>
            <w:vAlign w:val="center"/>
          </w:tcPr>
          <w:p w14:paraId="4C05D88D"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9.0</w:t>
            </w:r>
          </w:p>
        </w:tc>
        <w:tc>
          <w:tcPr>
            <w:tcW w:w="1931" w:type="dxa"/>
            <w:tcBorders>
              <w:top w:val="single" w:sz="2" w:space="0" w:color="000000"/>
              <w:bottom w:val="single" w:sz="2" w:space="0" w:color="000000"/>
            </w:tcBorders>
            <w:tcMar>
              <w:left w:w="0" w:type="dxa"/>
            </w:tcMar>
            <w:vAlign w:val="center"/>
          </w:tcPr>
          <w:p w14:paraId="175169EC"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2.85</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29594E44"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3.02</w:t>
            </w:r>
          </w:p>
        </w:tc>
      </w:tr>
      <w:tr w:rsidR="00D86D14" w14:paraId="28F06E6E" w14:textId="77777777" w:rsidTr="00D86D14">
        <w:trPr>
          <w:trHeight w:val="536"/>
        </w:trPr>
        <w:tc>
          <w:tcPr>
            <w:tcW w:w="3570" w:type="dxa"/>
            <w:tcBorders>
              <w:top w:val="single" w:sz="2" w:space="0" w:color="000000"/>
              <w:left w:val="single" w:sz="2" w:space="0" w:color="000000"/>
              <w:bottom w:val="single" w:sz="2" w:space="0" w:color="000000"/>
            </w:tcBorders>
            <w:vAlign w:val="center"/>
          </w:tcPr>
          <w:p w14:paraId="707AC22C" w14:textId="77777777" w:rsidR="00D86D14" w:rsidRDefault="00D86D14" w:rsidP="00D86D14">
            <w:pPr>
              <w:pStyle w:val="aff1"/>
              <w:spacing w:after="0"/>
              <w:ind w:left="720"/>
              <w:rPr>
                <w:rFonts w:ascii="Liberation Serif" w:hAnsi="Liberation Serif"/>
                <w:sz w:val="20"/>
                <w:szCs w:val="20"/>
              </w:rPr>
            </w:pPr>
            <w:r>
              <w:rPr>
                <w:rFonts w:ascii="Liberation Serif" w:hAnsi="Liberation Serif"/>
                <w:sz w:val="20"/>
                <w:szCs w:val="20"/>
              </w:rPr>
              <w:t>Покупка товаров и услуг резидентами за рубежом за вычетом покупок нерезидентами на территории России</w:t>
            </w:r>
          </w:p>
        </w:tc>
        <w:tc>
          <w:tcPr>
            <w:tcW w:w="910" w:type="dxa"/>
            <w:tcBorders>
              <w:top w:val="single" w:sz="2" w:space="0" w:color="000000"/>
              <w:bottom w:val="single" w:sz="2" w:space="0" w:color="000000"/>
            </w:tcBorders>
            <w:tcMar>
              <w:left w:w="0" w:type="dxa"/>
            </w:tcMar>
            <w:vAlign w:val="center"/>
          </w:tcPr>
          <w:p w14:paraId="30780BBE"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3.6</w:t>
            </w:r>
          </w:p>
        </w:tc>
        <w:tc>
          <w:tcPr>
            <w:tcW w:w="904" w:type="dxa"/>
            <w:tcBorders>
              <w:top w:val="single" w:sz="2" w:space="0" w:color="000000"/>
              <w:bottom w:val="single" w:sz="2" w:space="0" w:color="000000"/>
            </w:tcBorders>
            <w:tcMar>
              <w:left w:w="0" w:type="dxa"/>
            </w:tcMar>
            <w:vAlign w:val="center"/>
          </w:tcPr>
          <w:p w14:paraId="0867584F"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2.8</w:t>
            </w:r>
          </w:p>
        </w:tc>
        <w:tc>
          <w:tcPr>
            <w:tcW w:w="1931" w:type="dxa"/>
            <w:tcBorders>
              <w:top w:val="single" w:sz="2" w:space="0" w:color="000000"/>
              <w:bottom w:val="single" w:sz="2" w:space="0" w:color="000000"/>
            </w:tcBorders>
            <w:tcMar>
              <w:left w:w="0" w:type="dxa"/>
            </w:tcMar>
            <w:vAlign w:val="center"/>
          </w:tcPr>
          <w:p w14:paraId="7FB391D5"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2.66</w:t>
            </w:r>
          </w:p>
        </w:tc>
        <w:tc>
          <w:tcPr>
            <w:tcW w:w="2040" w:type="dxa"/>
            <w:tcBorders>
              <w:top w:val="single" w:sz="2" w:space="0" w:color="000000"/>
              <w:bottom w:val="single" w:sz="2" w:space="0" w:color="000000"/>
              <w:right w:val="single" w:sz="2" w:space="0" w:color="000000"/>
            </w:tcBorders>
            <w:tcMar>
              <w:left w:w="0" w:type="dxa"/>
              <w:right w:w="28" w:type="dxa"/>
            </w:tcMar>
            <w:vAlign w:val="center"/>
          </w:tcPr>
          <w:p w14:paraId="26EE8EFE" w14:textId="77777777" w:rsidR="00D86D14" w:rsidRDefault="00D86D14" w:rsidP="00D86D14">
            <w:pPr>
              <w:pStyle w:val="aff1"/>
              <w:spacing w:after="0"/>
              <w:jc w:val="center"/>
              <w:rPr>
                <w:rFonts w:ascii="Liberation Serif" w:hAnsi="Liberation Serif"/>
                <w:sz w:val="20"/>
                <w:szCs w:val="20"/>
              </w:rPr>
            </w:pPr>
            <w:r>
              <w:rPr>
                <w:rFonts w:ascii="Liberation Serif" w:hAnsi="Liberation Serif"/>
                <w:sz w:val="20"/>
                <w:szCs w:val="20"/>
              </w:rPr>
              <w:t>1.71</w:t>
            </w:r>
          </w:p>
        </w:tc>
      </w:tr>
    </w:tbl>
    <w:p w14:paraId="2AC948BB" w14:textId="77777777" w:rsidR="00D86D14" w:rsidRDefault="00D86D14" w:rsidP="00D86D14">
      <w:pPr>
        <w:spacing w:after="0" w:line="240" w:lineRule="auto"/>
        <w:jc w:val="both"/>
      </w:pPr>
      <w:r>
        <w:rPr>
          <w:rFonts w:ascii="Liberation Serif" w:hAnsi="Liberation Serif" w:cs="Times New Roman"/>
          <w:sz w:val="24"/>
          <w:szCs w:val="24"/>
        </w:rPr>
        <w:t xml:space="preserve">Примечание. </w:t>
      </w:r>
      <w:r>
        <w:rPr>
          <w:rFonts w:ascii="Liberation Serif" w:eastAsia="Calibri" w:hAnsi="Liberation Serif" w:cs="Times New Roman"/>
          <w:sz w:val="24"/>
          <w:szCs w:val="24"/>
        </w:rPr>
        <w:t xml:space="preserve">При расчетах физических объемов ПДХ на душу населения и индексов-дефляторов ПДХ за </w:t>
      </w:r>
      <w:proofErr w:type="gramStart"/>
      <w:r>
        <w:rPr>
          <w:rFonts w:ascii="Liberation Serif" w:eastAsia="Calibri" w:hAnsi="Liberation Serif" w:cs="Times New Roman"/>
          <w:sz w:val="24"/>
          <w:szCs w:val="24"/>
        </w:rPr>
        <w:t>2004-2018</w:t>
      </w:r>
      <w:proofErr w:type="gramEnd"/>
      <w:r>
        <w:rPr>
          <w:rFonts w:ascii="Liberation Serif" w:eastAsia="Calibri" w:hAnsi="Liberation Serif" w:cs="Times New Roman"/>
          <w:sz w:val="24"/>
          <w:szCs w:val="24"/>
        </w:rPr>
        <w:t xml:space="preserve"> гг. использовались данные о ПДХ в методологии СНС93 (для периода 2004-2011 гг.) и в методологии СНС08 (для периода 2012-2018 гг.)</w:t>
      </w:r>
    </w:p>
    <w:p w14:paraId="06F7EE73" w14:textId="77777777" w:rsidR="00D86D14" w:rsidRDefault="00D86D14" w:rsidP="00D86D14">
      <w:pPr>
        <w:spacing w:after="0" w:line="240" w:lineRule="auto"/>
        <w:jc w:val="both"/>
      </w:pPr>
      <w:r>
        <w:rPr>
          <w:rFonts w:ascii="Liberation Serif" w:hAnsi="Liberation Serif" w:cs="Times New Roman"/>
          <w:sz w:val="24"/>
          <w:szCs w:val="24"/>
        </w:rPr>
        <w:t>Источник: расчеты ИНП РАН по данным Росстата</w:t>
      </w:r>
    </w:p>
    <w:p w14:paraId="70837450" w14:textId="77777777" w:rsidR="00D86D14" w:rsidRDefault="00D86D14" w:rsidP="00D86D14">
      <w:pPr>
        <w:spacing w:after="0" w:line="360" w:lineRule="auto"/>
        <w:ind w:firstLine="720"/>
        <w:jc w:val="both"/>
        <w:rPr>
          <w:rFonts w:ascii="Liberation Serif" w:hAnsi="Liberation Serif" w:cs="Times New Roman"/>
          <w:sz w:val="28"/>
          <w:szCs w:val="28"/>
        </w:rPr>
      </w:pPr>
    </w:p>
    <w:p w14:paraId="7E12064A" w14:textId="77777777" w:rsidR="00D86D14" w:rsidRDefault="00D86D14" w:rsidP="00D86D14">
      <w:pPr>
        <w:spacing w:after="0" w:line="360" w:lineRule="auto"/>
        <w:ind w:firstLine="720"/>
        <w:jc w:val="both"/>
      </w:pPr>
      <w:r>
        <w:rPr>
          <w:rFonts w:ascii="Liberation Serif" w:hAnsi="Liberation Serif" w:cs="Times New Roman"/>
          <w:sz w:val="28"/>
          <w:szCs w:val="28"/>
        </w:rPr>
        <w:t xml:space="preserve">Если, например, услуги «Связи» в </w:t>
      </w:r>
      <w:proofErr w:type="gramStart"/>
      <w:r>
        <w:rPr>
          <w:rFonts w:ascii="Liberation Serif" w:hAnsi="Liberation Serif" w:cs="Times New Roman"/>
          <w:sz w:val="28"/>
          <w:szCs w:val="28"/>
        </w:rPr>
        <w:t>2004-2018</w:t>
      </w:r>
      <w:proofErr w:type="gramEnd"/>
      <w:r>
        <w:rPr>
          <w:rFonts w:ascii="Liberation Serif" w:hAnsi="Liberation Serif" w:cs="Times New Roman"/>
          <w:sz w:val="28"/>
          <w:szCs w:val="28"/>
        </w:rPr>
        <w:t xml:space="preserve"> гг. подорожали в 1.37 раза, а их среднедушевое реальное потребление увеличилось в 3.31 раза (наибольший рост потребления среди представленных в </w:t>
      </w:r>
      <w:r w:rsidRPr="00ED40E0">
        <w:rPr>
          <w:rFonts w:ascii="Liberation Serif" w:hAnsi="Liberation Serif" w:cs="Times New Roman"/>
          <w:sz w:val="28"/>
          <w:szCs w:val="28"/>
        </w:rPr>
        <w:t>таблице 1.1</w:t>
      </w:r>
      <w:r>
        <w:rPr>
          <w:rFonts w:ascii="Liberation Serif" w:hAnsi="Liberation Serif" w:cs="Times New Roman"/>
          <w:sz w:val="28"/>
          <w:szCs w:val="28"/>
        </w:rPr>
        <w:t xml:space="preserve"> разделов КИПЦ), то для «Алкогольных напитков и табачных изделий» соответствующие значения оказались равны 4.31 и 1.28 раза (наименьший, наряду с «Образованием», рост потребления). Таким образом, именно динамика относительных цен стала ключевым фактором, определившим стабильность и даже «архаичность» структуры ПДХ, прежде всего характеризуемой сохранением высокой доли расходов на продовольствие (физический объем ПДХ на душу населения для «Продуктов питания и безалкогольных напитков» увеличился в 1.54 раза, а индекс-дефлятор для этого раздела КИПЦ — в 3.14 раза). </w:t>
      </w:r>
    </w:p>
    <w:p w14:paraId="14882E03" w14:textId="77777777" w:rsidR="00D86D14" w:rsidRPr="00ED40E0" w:rsidRDefault="00D86D14" w:rsidP="00D86D14">
      <w:pPr>
        <w:spacing w:after="0" w:line="360" w:lineRule="auto"/>
        <w:ind w:firstLine="567"/>
        <w:jc w:val="both"/>
        <w:rPr>
          <w:rFonts w:ascii="Liberation Serif" w:hAnsi="Liberation Serif" w:cs="Times New Roman"/>
          <w:sz w:val="28"/>
          <w:szCs w:val="28"/>
        </w:rPr>
      </w:pPr>
      <w:r>
        <w:rPr>
          <w:rFonts w:ascii="Liberation Serif" w:hAnsi="Liberation Serif" w:cs="Times New Roman"/>
          <w:sz w:val="28"/>
          <w:szCs w:val="28"/>
        </w:rPr>
        <w:t xml:space="preserve">Кроме динамики относительных цен, на консервацию структуры потребления влияла стагнация экономики в период после кризиса </w:t>
      </w:r>
      <w:proofErr w:type="gramStart"/>
      <w:r>
        <w:rPr>
          <w:rFonts w:ascii="Liberation Serif" w:hAnsi="Liberation Serif" w:cs="Times New Roman"/>
          <w:sz w:val="28"/>
          <w:szCs w:val="28"/>
        </w:rPr>
        <w:t>2008-2009</w:t>
      </w:r>
      <w:proofErr w:type="gramEnd"/>
      <w:r>
        <w:rPr>
          <w:rFonts w:ascii="Liberation Serif" w:hAnsi="Liberation Serif" w:cs="Times New Roman"/>
          <w:sz w:val="28"/>
          <w:szCs w:val="28"/>
        </w:rPr>
        <w:t xml:space="preserve"> гг. и высокая дифференциация населения по уровню доходов. Влияние фактора распределения доходов, а, следовательно, и расходов, на структуру ПДХ обусловлено тем, что уровень и структура расходов существенно различаются между домашними хозяйствами, имеющими разный уровень дохода (</w:t>
      </w:r>
      <w:r w:rsidRPr="00ED40E0">
        <w:rPr>
          <w:rFonts w:ascii="Liberation Serif" w:hAnsi="Liberation Serif" w:cs="Times New Roman"/>
          <w:sz w:val="28"/>
          <w:szCs w:val="28"/>
        </w:rPr>
        <w:t>таблица 1.2</w:t>
      </w:r>
      <w:r>
        <w:rPr>
          <w:rFonts w:ascii="Liberation Serif" w:hAnsi="Liberation Serif" w:cs="Times New Roman"/>
          <w:sz w:val="28"/>
          <w:szCs w:val="28"/>
        </w:rPr>
        <w:t>). Расходы наиболее обеспеченных домашних хозяйств в абсолютном выражении, как правило, превышают расходы менее обеспеченных по всем агрегированным группам товаров и услуг, а разрыв в объеме расходов между доходными группами зависит от рассматриваемого товара или услуги.</w:t>
      </w:r>
    </w:p>
    <w:p w14:paraId="4759D692" w14:textId="77777777" w:rsidR="00D86D14" w:rsidRDefault="00D86D14" w:rsidP="00D86D14">
      <w:pPr>
        <w:spacing w:after="0" w:line="360" w:lineRule="auto"/>
        <w:ind w:firstLine="567"/>
        <w:jc w:val="both"/>
      </w:pPr>
      <w:r>
        <w:rPr>
          <w:rFonts w:ascii="Liberation Serif" w:hAnsi="Liberation Serif" w:cs="Times New Roman"/>
          <w:sz w:val="28"/>
          <w:szCs w:val="28"/>
        </w:rPr>
        <w:t>Следствием возможного снижения дифференциации доходов (даже при сохранении неизменным их реального уровня) может стать, во-первых, рост доли направляемых на потребление, а не сбережение, денежных доходов, во-вторых, изменение структуры потребления домашних хозяйств (в первую очередь относящихся к наименее обеспеченным доходным группам), и, следовательно, снижение доли импорта в потреблении — в силу особенностей их структуры расходов. Таким образом, снижение дифференциации доходов может рассматриваться как источник дополнительного потребительского спроса, а значит, и дополнительный драйвер экономического роста.</w:t>
      </w:r>
    </w:p>
    <w:p w14:paraId="5C8982B1" w14:textId="77777777" w:rsidR="00D86D14" w:rsidRDefault="00D86D14" w:rsidP="00D86D14">
      <w:pPr>
        <w:spacing w:after="0" w:line="360" w:lineRule="auto"/>
        <w:ind w:firstLine="567"/>
        <w:jc w:val="both"/>
      </w:pPr>
    </w:p>
    <w:p w14:paraId="2267B078" w14:textId="77777777" w:rsidR="00D86D14" w:rsidRDefault="00D86D14" w:rsidP="00D86D14">
      <w:pPr>
        <w:spacing w:after="0" w:line="360" w:lineRule="auto"/>
        <w:jc w:val="center"/>
      </w:pPr>
      <w:r w:rsidRPr="00ED40E0">
        <w:rPr>
          <w:rFonts w:ascii="Liberation Serif" w:hAnsi="Liberation Serif" w:cs="Times New Roman"/>
          <w:sz w:val="28"/>
          <w:szCs w:val="28"/>
        </w:rPr>
        <w:t>Таблица 1.2</w:t>
      </w:r>
      <w:r>
        <w:rPr>
          <w:rFonts w:ascii="Liberation Serif" w:hAnsi="Liberation Serif" w:cs="Times New Roman"/>
          <w:sz w:val="28"/>
          <w:szCs w:val="28"/>
        </w:rPr>
        <w:t xml:space="preserve">. Структура потребительских расходов по </w:t>
      </w:r>
      <w:proofErr w:type="spellStart"/>
      <w:r>
        <w:rPr>
          <w:rFonts w:ascii="Liberation Serif" w:hAnsi="Liberation Serif" w:cs="Times New Roman"/>
          <w:sz w:val="28"/>
          <w:szCs w:val="28"/>
        </w:rPr>
        <w:t>децильным</w:t>
      </w:r>
      <w:proofErr w:type="spellEnd"/>
      <w:r>
        <w:rPr>
          <w:rFonts w:ascii="Liberation Serif" w:hAnsi="Liberation Serif" w:cs="Times New Roman"/>
          <w:sz w:val="28"/>
          <w:szCs w:val="28"/>
        </w:rPr>
        <w:t xml:space="preserve"> доходным группам российских домашних хозяйств в 2019 г., %</w:t>
      </w:r>
    </w:p>
    <w:tbl>
      <w:tblPr>
        <w:tblW w:w="9396" w:type="dxa"/>
        <w:tblInd w:w="-5" w:type="dxa"/>
        <w:tblLayout w:type="fixed"/>
        <w:tblCellMar>
          <w:top w:w="55" w:type="dxa"/>
          <w:left w:w="55" w:type="dxa"/>
          <w:bottom w:w="55" w:type="dxa"/>
          <w:right w:w="55" w:type="dxa"/>
        </w:tblCellMar>
        <w:tblLook w:val="04A0" w:firstRow="1" w:lastRow="0" w:firstColumn="1" w:lastColumn="0" w:noHBand="0" w:noVBand="1"/>
      </w:tblPr>
      <w:tblGrid>
        <w:gridCol w:w="4137"/>
        <w:gridCol w:w="1048"/>
        <w:gridCol w:w="540"/>
        <w:gridCol w:w="1049"/>
        <w:gridCol w:w="524"/>
        <w:gridCol w:w="1052"/>
        <w:gridCol w:w="1046"/>
      </w:tblGrid>
      <w:tr w:rsidR="00D86D14" w14:paraId="124ED7BA" w14:textId="77777777" w:rsidTr="00D86D14">
        <w:trPr>
          <w:trHeight w:val="256"/>
        </w:trPr>
        <w:tc>
          <w:tcPr>
            <w:tcW w:w="4136" w:type="dxa"/>
            <w:tcBorders>
              <w:top w:val="single" w:sz="4" w:space="0" w:color="000000"/>
              <w:left w:val="single" w:sz="4" w:space="0" w:color="000000"/>
              <w:bottom w:val="single" w:sz="4" w:space="0" w:color="000000"/>
            </w:tcBorders>
            <w:vAlign w:val="center"/>
          </w:tcPr>
          <w:p w14:paraId="7EE9C235" w14:textId="77777777" w:rsidR="00D86D14" w:rsidRDefault="00D86D14" w:rsidP="00D86D14">
            <w:pPr>
              <w:widowControl w:val="0"/>
              <w:spacing w:after="0"/>
              <w:jc w:val="center"/>
              <w:rPr>
                <w:rFonts w:ascii="Liberation Serif" w:hAnsi="Liberation Serif"/>
                <w:sz w:val="20"/>
                <w:szCs w:val="20"/>
              </w:rPr>
            </w:pPr>
          </w:p>
        </w:tc>
        <w:tc>
          <w:tcPr>
            <w:tcW w:w="1048" w:type="dxa"/>
            <w:tcBorders>
              <w:top w:val="single" w:sz="4" w:space="0" w:color="000000"/>
              <w:bottom w:val="single" w:sz="4" w:space="0" w:color="000000"/>
            </w:tcBorders>
            <w:vAlign w:val="center"/>
          </w:tcPr>
          <w:p w14:paraId="68CC6A8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Первая</w:t>
            </w:r>
          </w:p>
        </w:tc>
        <w:tc>
          <w:tcPr>
            <w:tcW w:w="540" w:type="dxa"/>
            <w:tcBorders>
              <w:top w:val="single" w:sz="4" w:space="0" w:color="000000"/>
              <w:bottom w:val="single" w:sz="4" w:space="0" w:color="000000"/>
            </w:tcBorders>
            <w:vAlign w:val="center"/>
          </w:tcPr>
          <w:p w14:paraId="0520BAC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w:t>
            </w:r>
          </w:p>
        </w:tc>
        <w:tc>
          <w:tcPr>
            <w:tcW w:w="1049" w:type="dxa"/>
            <w:tcBorders>
              <w:top w:val="single" w:sz="4" w:space="0" w:color="000000"/>
              <w:bottom w:val="single" w:sz="4" w:space="0" w:color="000000"/>
            </w:tcBorders>
            <w:vAlign w:val="center"/>
          </w:tcPr>
          <w:p w14:paraId="53AB35EB"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Пятая</w:t>
            </w:r>
          </w:p>
        </w:tc>
        <w:tc>
          <w:tcPr>
            <w:tcW w:w="524" w:type="dxa"/>
            <w:tcBorders>
              <w:top w:val="single" w:sz="4" w:space="0" w:color="000000"/>
              <w:bottom w:val="single" w:sz="4" w:space="0" w:color="000000"/>
            </w:tcBorders>
            <w:vAlign w:val="center"/>
          </w:tcPr>
          <w:p w14:paraId="6A406457"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w:t>
            </w:r>
          </w:p>
        </w:tc>
        <w:tc>
          <w:tcPr>
            <w:tcW w:w="1052" w:type="dxa"/>
            <w:tcBorders>
              <w:top w:val="single" w:sz="4" w:space="0" w:color="000000"/>
              <w:bottom w:val="single" w:sz="4" w:space="0" w:color="000000"/>
            </w:tcBorders>
            <w:vAlign w:val="center"/>
          </w:tcPr>
          <w:p w14:paraId="435653F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Девятая</w:t>
            </w:r>
          </w:p>
        </w:tc>
        <w:tc>
          <w:tcPr>
            <w:tcW w:w="1046" w:type="dxa"/>
            <w:tcBorders>
              <w:top w:val="single" w:sz="4" w:space="0" w:color="000000"/>
              <w:bottom w:val="single" w:sz="4" w:space="0" w:color="000000"/>
              <w:right w:val="single" w:sz="4" w:space="0" w:color="000000"/>
            </w:tcBorders>
            <w:vAlign w:val="center"/>
          </w:tcPr>
          <w:p w14:paraId="61E110D0"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Десятая</w:t>
            </w:r>
          </w:p>
        </w:tc>
      </w:tr>
      <w:tr w:rsidR="00D86D14" w14:paraId="195D8D4E" w14:textId="77777777" w:rsidTr="00D86D14">
        <w:trPr>
          <w:trHeight w:val="256"/>
        </w:trPr>
        <w:tc>
          <w:tcPr>
            <w:tcW w:w="4136" w:type="dxa"/>
            <w:tcBorders>
              <w:left w:val="single" w:sz="4" w:space="0" w:color="000000"/>
              <w:bottom w:val="single" w:sz="4" w:space="0" w:color="000000"/>
            </w:tcBorders>
            <w:vAlign w:val="center"/>
          </w:tcPr>
          <w:p w14:paraId="75B6BE14" w14:textId="77777777" w:rsidR="00D86D14" w:rsidRDefault="00D86D14" w:rsidP="00D86D14">
            <w:pPr>
              <w:widowControl w:val="0"/>
              <w:spacing w:after="0"/>
              <w:rPr>
                <w:rFonts w:ascii="Liberation Serif" w:hAnsi="Liberation Serif"/>
                <w:sz w:val="20"/>
                <w:szCs w:val="20"/>
              </w:rPr>
            </w:pPr>
            <w:r>
              <w:rPr>
                <w:rFonts w:ascii="Liberation Serif" w:hAnsi="Liberation Serif"/>
                <w:sz w:val="20"/>
                <w:szCs w:val="20"/>
              </w:rPr>
              <w:t>Потребительские расходы – всего</w:t>
            </w:r>
          </w:p>
        </w:tc>
        <w:tc>
          <w:tcPr>
            <w:tcW w:w="1048" w:type="dxa"/>
            <w:tcBorders>
              <w:bottom w:val="single" w:sz="4" w:space="0" w:color="000000"/>
            </w:tcBorders>
            <w:vAlign w:val="center"/>
          </w:tcPr>
          <w:p w14:paraId="7EA6F85A"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c>
          <w:tcPr>
            <w:tcW w:w="540" w:type="dxa"/>
            <w:tcBorders>
              <w:bottom w:val="single" w:sz="4" w:space="0" w:color="000000"/>
            </w:tcBorders>
            <w:vAlign w:val="center"/>
          </w:tcPr>
          <w:p w14:paraId="669294E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w:t>
            </w:r>
          </w:p>
        </w:tc>
        <w:tc>
          <w:tcPr>
            <w:tcW w:w="1049" w:type="dxa"/>
            <w:tcBorders>
              <w:bottom w:val="single" w:sz="4" w:space="0" w:color="000000"/>
            </w:tcBorders>
            <w:vAlign w:val="center"/>
          </w:tcPr>
          <w:p w14:paraId="20670D4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c>
          <w:tcPr>
            <w:tcW w:w="524" w:type="dxa"/>
            <w:tcBorders>
              <w:bottom w:val="single" w:sz="4" w:space="0" w:color="000000"/>
            </w:tcBorders>
            <w:vAlign w:val="center"/>
          </w:tcPr>
          <w:p w14:paraId="2C76235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w:t>
            </w:r>
          </w:p>
        </w:tc>
        <w:tc>
          <w:tcPr>
            <w:tcW w:w="1052" w:type="dxa"/>
            <w:tcBorders>
              <w:bottom w:val="single" w:sz="4" w:space="0" w:color="000000"/>
            </w:tcBorders>
            <w:vAlign w:val="center"/>
          </w:tcPr>
          <w:p w14:paraId="4B363DFC"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c>
          <w:tcPr>
            <w:tcW w:w="1046" w:type="dxa"/>
            <w:tcBorders>
              <w:bottom w:val="single" w:sz="4" w:space="0" w:color="000000"/>
              <w:right w:val="single" w:sz="4" w:space="0" w:color="000000"/>
            </w:tcBorders>
            <w:vAlign w:val="center"/>
          </w:tcPr>
          <w:p w14:paraId="7AF4B8AC"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r>
      <w:tr w:rsidR="00D86D14" w14:paraId="11DF7CF1" w14:textId="77777777" w:rsidTr="00D86D14">
        <w:trPr>
          <w:trHeight w:val="256"/>
        </w:trPr>
        <w:tc>
          <w:tcPr>
            <w:tcW w:w="4136" w:type="dxa"/>
            <w:tcBorders>
              <w:left w:val="single" w:sz="4" w:space="0" w:color="000000"/>
              <w:bottom w:val="single" w:sz="4" w:space="0" w:color="000000"/>
            </w:tcBorders>
            <w:vAlign w:val="center"/>
          </w:tcPr>
          <w:p w14:paraId="3502B5B0"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Продукты питания и безалкогольные напитки</w:t>
            </w:r>
          </w:p>
        </w:tc>
        <w:tc>
          <w:tcPr>
            <w:tcW w:w="1048" w:type="dxa"/>
            <w:tcBorders>
              <w:bottom w:val="single" w:sz="4" w:space="0" w:color="000000"/>
            </w:tcBorders>
            <w:vAlign w:val="center"/>
          </w:tcPr>
          <w:p w14:paraId="4400FE4C"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47.3</w:t>
            </w:r>
          </w:p>
        </w:tc>
        <w:tc>
          <w:tcPr>
            <w:tcW w:w="540" w:type="dxa"/>
            <w:tcBorders>
              <w:bottom w:val="single" w:sz="4" w:space="0" w:color="000000"/>
            </w:tcBorders>
            <w:vAlign w:val="center"/>
          </w:tcPr>
          <w:p w14:paraId="75288FE2"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3024CEFB"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38.2</w:t>
            </w:r>
          </w:p>
        </w:tc>
        <w:tc>
          <w:tcPr>
            <w:tcW w:w="524" w:type="dxa"/>
            <w:tcBorders>
              <w:bottom w:val="single" w:sz="4" w:space="0" w:color="000000"/>
            </w:tcBorders>
            <w:vAlign w:val="center"/>
          </w:tcPr>
          <w:p w14:paraId="0F255305"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25EEA682"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28.0</w:t>
            </w:r>
          </w:p>
        </w:tc>
        <w:tc>
          <w:tcPr>
            <w:tcW w:w="1046" w:type="dxa"/>
            <w:tcBorders>
              <w:bottom w:val="single" w:sz="4" w:space="0" w:color="000000"/>
              <w:right w:val="single" w:sz="4" w:space="0" w:color="000000"/>
            </w:tcBorders>
            <w:vAlign w:val="center"/>
          </w:tcPr>
          <w:p w14:paraId="4F768BD6"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16.2</w:t>
            </w:r>
          </w:p>
        </w:tc>
      </w:tr>
      <w:tr w:rsidR="00D86D14" w14:paraId="172F709A" w14:textId="77777777" w:rsidTr="00D86D14">
        <w:trPr>
          <w:trHeight w:val="256"/>
        </w:trPr>
        <w:tc>
          <w:tcPr>
            <w:tcW w:w="4136" w:type="dxa"/>
            <w:tcBorders>
              <w:left w:val="single" w:sz="4" w:space="0" w:color="000000"/>
              <w:bottom w:val="single" w:sz="4" w:space="0" w:color="000000"/>
            </w:tcBorders>
            <w:vAlign w:val="center"/>
          </w:tcPr>
          <w:p w14:paraId="45C8E81E"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Алкогольные напитки, табачные изделия</w:t>
            </w:r>
          </w:p>
        </w:tc>
        <w:tc>
          <w:tcPr>
            <w:tcW w:w="1048" w:type="dxa"/>
            <w:tcBorders>
              <w:bottom w:val="single" w:sz="4" w:space="0" w:color="000000"/>
            </w:tcBorders>
            <w:vAlign w:val="center"/>
          </w:tcPr>
          <w:p w14:paraId="477D9413"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3.0</w:t>
            </w:r>
          </w:p>
        </w:tc>
        <w:tc>
          <w:tcPr>
            <w:tcW w:w="540" w:type="dxa"/>
            <w:tcBorders>
              <w:bottom w:val="single" w:sz="4" w:space="0" w:color="000000"/>
            </w:tcBorders>
            <w:vAlign w:val="center"/>
          </w:tcPr>
          <w:p w14:paraId="37A67A30"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08AA62C0"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3.1</w:t>
            </w:r>
          </w:p>
        </w:tc>
        <w:tc>
          <w:tcPr>
            <w:tcW w:w="524" w:type="dxa"/>
            <w:tcBorders>
              <w:bottom w:val="single" w:sz="4" w:space="0" w:color="000000"/>
            </w:tcBorders>
            <w:vAlign w:val="center"/>
          </w:tcPr>
          <w:p w14:paraId="0B9B1507"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578266A3"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3.5</w:t>
            </w:r>
          </w:p>
        </w:tc>
        <w:tc>
          <w:tcPr>
            <w:tcW w:w="1046" w:type="dxa"/>
            <w:tcBorders>
              <w:bottom w:val="single" w:sz="4" w:space="0" w:color="000000"/>
              <w:right w:val="single" w:sz="4" w:space="0" w:color="000000"/>
            </w:tcBorders>
            <w:vAlign w:val="center"/>
          </w:tcPr>
          <w:p w14:paraId="40A864CA"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2.5</w:t>
            </w:r>
          </w:p>
        </w:tc>
      </w:tr>
      <w:tr w:rsidR="00D86D14" w14:paraId="2D37E86D" w14:textId="77777777" w:rsidTr="00D86D14">
        <w:trPr>
          <w:trHeight w:val="256"/>
        </w:trPr>
        <w:tc>
          <w:tcPr>
            <w:tcW w:w="4136" w:type="dxa"/>
            <w:tcBorders>
              <w:left w:val="single" w:sz="4" w:space="0" w:color="000000"/>
              <w:bottom w:val="single" w:sz="4" w:space="0" w:color="000000"/>
            </w:tcBorders>
            <w:vAlign w:val="center"/>
          </w:tcPr>
          <w:p w14:paraId="11FF87E9"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Одежда и обувь</w:t>
            </w:r>
          </w:p>
        </w:tc>
        <w:tc>
          <w:tcPr>
            <w:tcW w:w="1048" w:type="dxa"/>
            <w:tcBorders>
              <w:bottom w:val="single" w:sz="4" w:space="0" w:color="000000"/>
            </w:tcBorders>
            <w:vAlign w:val="center"/>
          </w:tcPr>
          <w:p w14:paraId="130D9F7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7.8</w:t>
            </w:r>
          </w:p>
        </w:tc>
        <w:tc>
          <w:tcPr>
            <w:tcW w:w="540" w:type="dxa"/>
            <w:tcBorders>
              <w:bottom w:val="single" w:sz="4" w:space="0" w:color="000000"/>
            </w:tcBorders>
            <w:vAlign w:val="center"/>
          </w:tcPr>
          <w:p w14:paraId="0CAB0C9F"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190FDD52"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8.2</w:t>
            </w:r>
          </w:p>
        </w:tc>
        <w:tc>
          <w:tcPr>
            <w:tcW w:w="524" w:type="dxa"/>
            <w:tcBorders>
              <w:bottom w:val="single" w:sz="4" w:space="0" w:color="000000"/>
            </w:tcBorders>
            <w:vAlign w:val="center"/>
          </w:tcPr>
          <w:p w14:paraId="10AA570D"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71DA5367"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8.4</w:t>
            </w:r>
          </w:p>
        </w:tc>
        <w:tc>
          <w:tcPr>
            <w:tcW w:w="1046" w:type="dxa"/>
            <w:tcBorders>
              <w:bottom w:val="single" w:sz="4" w:space="0" w:color="000000"/>
              <w:right w:val="single" w:sz="4" w:space="0" w:color="000000"/>
            </w:tcBorders>
            <w:vAlign w:val="center"/>
          </w:tcPr>
          <w:p w14:paraId="5FBE93C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7.9</w:t>
            </w:r>
          </w:p>
        </w:tc>
      </w:tr>
      <w:tr w:rsidR="00D86D14" w14:paraId="346DD40C" w14:textId="77777777" w:rsidTr="00D86D14">
        <w:trPr>
          <w:trHeight w:val="477"/>
        </w:trPr>
        <w:tc>
          <w:tcPr>
            <w:tcW w:w="4136" w:type="dxa"/>
            <w:tcBorders>
              <w:left w:val="single" w:sz="4" w:space="0" w:color="000000"/>
              <w:bottom w:val="single" w:sz="4" w:space="0" w:color="000000"/>
            </w:tcBorders>
            <w:vAlign w:val="center"/>
          </w:tcPr>
          <w:p w14:paraId="54DC5ABD"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Жилищные услуги, вода, электроэнергия, газ и другие виды топлива</w:t>
            </w:r>
          </w:p>
        </w:tc>
        <w:tc>
          <w:tcPr>
            <w:tcW w:w="1048" w:type="dxa"/>
            <w:tcBorders>
              <w:bottom w:val="single" w:sz="4" w:space="0" w:color="000000"/>
            </w:tcBorders>
            <w:vAlign w:val="center"/>
          </w:tcPr>
          <w:p w14:paraId="2491E6E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15.0</w:t>
            </w:r>
          </w:p>
        </w:tc>
        <w:tc>
          <w:tcPr>
            <w:tcW w:w="540" w:type="dxa"/>
            <w:tcBorders>
              <w:bottom w:val="single" w:sz="4" w:space="0" w:color="000000"/>
            </w:tcBorders>
            <w:vAlign w:val="center"/>
          </w:tcPr>
          <w:p w14:paraId="0C5397B1"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7DEF1320"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13.0</w:t>
            </w:r>
          </w:p>
        </w:tc>
        <w:tc>
          <w:tcPr>
            <w:tcW w:w="524" w:type="dxa"/>
            <w:tcBorders>
              <w:bottom w:val="single" w:sz="4" w:space="0" w:color="000000"/>
            </w:tcBorders>
            <w:vAlign w:val="center"/>
          </w:tcPr>
          <w:p w14:paraId="57BDAACF"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224EAE87"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10.5</w:t>
            </w:r>
          </w:p>
        </w:tc>
        <w:tc>
          <w:tcPr>
            <w:tcW w:w="1046" w:type="dxa"/>
            <w:tcBorders>
              <w:bottom w:val="single" w:sz="4" w:space="0" w:color="000000"/>
              <w:right w:val="single" w:sz="4" w:space="0" w:color="000000"/>
            </w:tcBorders>
            <w:vAlign w:val="center"/>
          </w:tcPr>
          <w:p w14:paraId="3F8A3707"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7.5</w:t>
            </w:r>
          </w:p>
        </w:tc>
      </w:tr>
      <w:tr w:rsidR="00D86D14" w14:paraId="2E30ADF4" w14:textId="77777777" w:rsidTr="00D86D14">
        <w:trPr>
          <w:trHeight w:val="477"/>
        </w:trPr>
        <w:tc>
          <w:tcPr>
            <w:tcW w:w="4136" w:type="dxa"/>
            <w:tcBorders>
              <w:left w:val="single" w:sz="4" w:space="0" w:color="000000"/>
              <w:bottom w:val="single" w:sz="4" w:space="0" w:color="000000"/>
            </w:tcBorders>
            <w:vAlign w:val="center"/>
          </w:tcPr>
          <w:p w14:paraId="746C954A"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Предметы домашнего обихода, бытовая техника и повседневный уход за домом</w:t>
            </w:r>
          </w:p>
        </w:tc>
        <w:tc>
          <w:tcPr>
            <w:tcW w:w="1048" w:type="dxa"/>
            <w:tcBorders>
              <w:bottom w:val="single" w:sz="4" w:space="0" w:color="000000"/>
            </w:tcBorders>
            <w:vAlign w:val="center"/>
          </w:tcPr>
          <w:p w14:paraId="04A83C49"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3.2</w:t>
            </w:r>
          </w:p>
        </w:tc>
        <w:tc>
          <w:tcPr>
            <w:tcW w:w="540" w:type="dxa"/>
            <w:tcBorders>
              <w:bottom w:val="single" w:sz="4" w:space="0" w:color="000000"/>
            </w:tcBorders>
            <w:vAlign w:val="center"/>
          </w:tcPr>
          <w:p w14:paraId="451D6E7F"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1524DDE6"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5.1</w:t>
            </w:r>
          </w:p>
        </w:tc>
        <w:tc>
          <w:tcPr>
            <w:tcW w:w="524" w:type="dxa"/>
            <w:tcBorders>
              <w:bottom w:val="single" w:sz="4" w:space="0" w:color="000000"/>
            </w:tcBorders>
            <w:vAlign w:val="center"/>
          </w:tcPr>
          <w:p w14:paraId="42617947"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30765F87"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6.4</w:t>
            </w:r>
          </w:p>
        </w:tc>
        <w:tc>
          <w:tcPr>
            <w:tcW w:w="1046" w:type="dxa"/>
            <w:tcBorders>
              <w:bottom w:val="single" w:sz="4" w:space="0" w:color="000000"/>
              <w:right w:val="single" w:sz="4" w:space="0" w:color="000000"/>
            </w:tcBorders>
            <w:vAlign w:val="center"/>
          </w:tcPr>
          <w:p w14:paraId="483B8380"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5.0</w:t>
            </w:r>
          </w:p>
        </w:tc>
      </w:tr>
      <w:tr w:rsidR="00D86D14" w14:paraId="7E126CB6" w14:textId="77777777" w:rsidTr="00D86D14">
        <w:trPr>
          <w:trHeight w:val="256"/>
        </w:trPr>
        <w:tc>
          <w:tcPr>
            <w:tcW w:w="4136" w:type="dxa"/>
            <w:tcBorders>
              <w:left w:val="single" w:sz="4" w:space="0" w:color="000000"/>
              <w:bottom w:val="single" w:sz="4" w:space="0" w:color="000000"/>
            </w:tcBorders>
            <w:vAlign w:val="center"/>
          </w:tcPr>
          <w:p w14:paraId="1C8E2510"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Здравоохранение</w:t>
            </w:r>
          </w:p>
        </w:tc>
        <w:tc>
          <w:tcPr>
            <w:tcW w:w="1048" w:type="dxa"/>
            <w:tcBorders>
              <w:bottom w:val="single" w:sz="4" w:space="0" w:color="000000"/>
            </w:tcBorders>
            <w:vAlign w:val="center"/>
          </w:tcPr>
          <w:p w14:paraId="14308BDD"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2.6</w:t>
            </w:r>
          </w:p>
        </w:tc>
        <w:tc>
          <w:tcPr>
            <w:tcW w:w="540" w:type="dxa"/>
            <w:tcBorders>
              <w:bottom w:val="single" w:sz="4" w:space="0" w:color="000000"/>
            </w:tcBorders>
            <w:vAlign w:val="center"/>
          </w:tcPr>
          <w:p w14:paraId="257267D7"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310672A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3.8</w:t>
            </w:r>
          </w:p>
        </w:tc>
        <w:tc>
          <w:tcPr>
            <w:tcW w:w="524" w:type="dxa"/>
            <w:tcBorders>
              <w:bottom w:val="single" w:sz="4" w:space="0" w:color="000000"/>
            </w:tcBorders>
            <w:vAlign w:val="center"/>
          </w:tcPr>
          <w:p w14:paraId="5F6A534D"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0D0AA5DD"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4.3</w:t>
            </w:r>
          </w:p>
        </w:tc>
        <w:tc>
          <w:tcPr>
            <w:tcW w:w="1046" w:type="dxa"/>
            <w:tcBorders>
              <w:bottom w:val="single" w:sz="4" w:space="0" w:color="000000"/>
              <w:right w:val="single" w:sz="4" w:space="0" w:color="000000"/>
            </w:tcBorders>
            <w:vAlign w:val="center"/>
          </w:tcPr>
          <w:p w14:paraId="6C89D08C"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3.8</w:t>
            </w:r>
          </w:p>
        </w:tc>
      </w:tr>
      <w:tr w:rsidR="00D86D14" w14:paraId="2BD64785" w14:textId="77777777" w:rsidTr="00D86D14">
        <w:trPr>
          <w:trHeight w:val="256"/>
        </w:trPr>
        <w:tc>
          <w:tcPr>
            <w:tcW w:w="4136" w:type="dxa"/>
            <w:tcBorders>
              <w:left w:val="single" w:sz="4" w:space="0" w:color="000000"/>
              <w:bottom w:val="single" w:sz="4" w:space="0" w:color="000000"/>
            </w:tcBorders>
            <w:vAlign w:val="center"/>
          </w:tcPr>
          <w:p w14:paraId="23E18B03"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Транспорт</w:t>
            </w:r>
          </w:p>
        </w:tc>
        <w:tc>
          <w:tcPr>
            <w:tcW w:w="1048" w:type="dxa"/>
            <w:tcBorders>
              <w:bottom w:val="single" w:sz="4" w:space="0" w:color="000000"/>
            </w:tcBorders>
            <w:vAlign w:val="center"/>
          </w:tcPr>
          <w:p w14:paraId="1E9EC689"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5.9</w:t>
            </w:r>
          </w:p>
        </w:tc>
        <w:tc>
          <w:tcPr>
            <w:tcW w:w="540" w:type="dxa"/>
            <w:tcBorders>
              <w:bottom w:val="single" w:sz="4" w:space="0" w:color="000000"/>
            </w:tcBorders>
            <w:vAlign w:val="center"/>
          </w:tcPr>
          <w:p w14:paraId="4C334472"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65D5989C"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c>
          <w:tcPr>
            <w:tcW w:w="524" w:type="dxa"/>
            <w:tcBorders>
              <w:bottom w:val="single" w:sz="4" w:space="0" w:color="000000"/>
            </w:tcBorders>
            <w:vAlign w:val="center"/>
          </w:tcPr>
          <w:p w14:paraId="4E4C98A6"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6B88FB6F"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12.1</w:t>
            </w:r>
          </w:p>
        </w:tc>
        <w:tc>
          <w:tcPr>
            <w:tcW w:w="1046" w:type="dxa"/>
            <w:tcBorders>
              <w:bottom w:val="single" w:sz="4" w:space="0" w:color="000000"/>
              <w:right w:val="single" w:sz="4" w:space="0" w:color="000000"/>
            </w:tcBorders>
            <w:vAlign w:val="center"/>
          </w:tcPr>
          <w:p w14:paraId="0122B715"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29.7</w:t>
            </w:r>
          </w:p>
        </w:tc>
      </w:tr>
      <w:tr w:rsidR="00D86D14" w14:paraId="4D5CFC88" w14:textId="77777777" w:rsidTr="00D86D14">
        <w:trPr>
          <w:trHeight w:val="256"/>
        </w:trPr>
        <w:tc>
          <w:tcPr>
            <w:tcW w:w="4136" w:type="dxa"/>
            <w:tcBorders>
              <w:left w:val="single" w:sz="4" w:space="0" w:color="000000"/>
              <w:bottom w:val="single" w:sz="4" w:space="0" w:color="000000"/>
            </w:tcBorders>
            <w:vAlign w:val="center"/>
          </w:tcPr>
          <w:p w14:paraId="56827735"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Связь</w:t>
            </w:r>
          </w:p>
        </w:tc>
        <w:tc>
          <w:tcPr>
            <w:tcW w:w="1048" w:type="dxa"/>
            <w:tcBorders>
              <w:bottom w:val="single" w:sz="4" w:space="0" w:color="000000"/>
            </w:tcBorders>
            <w:vAlign w:val="center"/>
          </w:tcPr>
          <w:p w14:paraId="662412F1"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4.8</w:t>
            </w:r>
          </w:p>
        </w:tc>
        <w:tc>
          <w:tcPr>
            <w:tcW w:w="540" w:type="dxa"/>
            <w:tcBorders>
              <w:bottom w:val="single" w:sz="4" w:space="0" w:color="000000"/>
            </w:tcBorders>
            <w:vAlign w:val="center"/>
          </w:tcPr>
          <w:p w14:paraId="10F79240"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04B26DE8"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3.7</w:t>
            </w:r>
          </w:p>
        </w:tc>
        <w:tc>
          <w:tcPr>
            <w:tcW w:w="524" w:type="dxa"/>
            <w:tcBorders>
              <w:bottom w:val="single" w:sz="4" w:space="0" w:color="000000"/>
            </w:tcBorders>
            <w:vAlign w:val="center"/>
          </w:tcPr>
          <w:p w14:paraId="4C2F09CA"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4397602D"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3.2</w:t>
            </w:r>
          </w:p>
        </w:tc>
        <w:tc>
          <w:tcPr>
            <w:tcW w:w="1046" w:type="dxa"/>
            <w:tcBorders>
              <w:bottom w:val="single" w:sz="4" w:space="0" w:color="000000"/>
              <w:right w:val="single" w:sz="4" w:space="0" w:color="000000"/>
            </w:tcBorders>
            <w:vAlign w:val="center"/>
          </w:tcPr>
          <w:p w14:paraId="2151775D"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1.9</w:t>
            </w:r>
          </w:p>
        </w:tc>
      </w:tr>
      <w:tr w:rsidR="00D86D14" w14:paraId="3F5BA192" w14:textId="77777777" w:rsidTr="00D86D14">
        <w:trPr>
          <w:trHeight w:val="477"/>
        </w:trPr>
        <w:tc>
          <w:tcPr>
            <w:tcW w:w="4136" w:type="dxa"/>
            <w:tcBorders>
              <w:left w:val="single" w:sz="4" w:space="0" w:color="000000"/>
              <w:bottom w:val="single" w:sz="4" w:space="0" w:color="000000"/>
            </w:tcBorders>
            <w:vAlign w:val="center"/>
          </w:tcPr>
          <w:p w14:paraId="0350CDC5"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Организация отдыха и культурные мероприятия</w:t>
            </w:r>
          </w:p>
        </w:tc>
        <w:tc>
          <w:tcPr>
            <w:tcW w:w="1048" w:type="dxa"/>
            <w:tcBorders>
              <w:bottom w:val="single" w:sz="4" w:space="0" w:color="000000"/>
            </w:tcBorders>
            <w:vAlign w:val="center"/>
          </w:tcPr>
          <w:p w14:paraId="4DF2A24F"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3.0</w:t>
            </w:r>
          </w:p>
        </w:tc>
        <w:tc>
          <w:tcPr>
            <w:tcW w:w="540" w:type="dxa"/>
            <w:tcBorders>
              <w:bottom w:val="single" w:sz="4" w:space="0" w:color="000000"/>
            </w:tcBorders>
            <w:vAlign w:val="center"/>
          </w:tcPr>
          <w:p w14:paraId="70497CD3"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4E46B079"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4.9</w:t>
            </w:r>
          </w:p>
        </w:tc>
        <w:tc>
          <w:tcPr>
            <w:tcW w:w="524" w:type="dxa"/>
            <w:tcBorders>
              <w:bottom w:val="single" w:sz="4" w:space="0" w:color="000000"/>
            </w:tcBorders>
            <w:vAlign w:val="center"/>
          </w:tcPr>
          <w:p w14:paraId="08ECFBAF"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0680275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10.0</w:t>
            </w:r>
          </w:p>
        </w:tc>
        <w:tc>
          <w:tcPr>
            <w:tcW w:w="1046" w:type="dxa"/>
            <w:tcBorders>
              <w:bottom w:val="single" w:sz="4" w:space="0" w:color="000000"/>
              <w:right w:val="single" w:sz="4" w:space="0" w:color="000000"/>
            </w:tcBorders>
            <w:vAlign w:val="center"/>
          </w:tcPr>
          <w:p w14:paraId="7D72FCDD"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12.4</w:t>
            </w:r>
          </w:p>
        </w:tc>
      </w:tr>
      <w:tr w:rsidR="00D86D14" w14:paraId="22170CFD" w14:textId="77777777" w:rsidTr="00D86D14">
        <w:trPr>
          <w:trHeight w:val="256"/>
        </w:trPr>
        <w:tc>
          <w:tcPr>
            <w:tcW w:w="4136" w:type="dxa"/>
            <w:tcBorders>
              <w:left w:val="single" w:sz="4" w:space="0" w:color="000000"/>
              <w:bottom w:val="single" w:sz="4" w:space="0" w:color="000000"/>
            </w:tcBorders>
            <w:vAlign w:val="center"/>
          </w:tcPr>
          <w:p w14:paraId="39523E79"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Образование</w:t>
            </w:r>
          </w:p>
        </w:tc>
        <w:tc>
          <w:tcPr>
            <w:tcW w:w="1048" w:type="dxa"/>
            <w:tcBorders>
              <w:bottom w:val="single" w:sz="4" w:space="0" w:color="000000"/>
            </w:tcBorders>
            <w:vAlign w:val="center"/>
          </w:tcPr>
          <w:p w14:paraId="23337908"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0.4</w:t>
            </w:r>
          </w:p>
        </w:tc>
        <w:tc>
          <w:tcPr>
            <w:tcW w:w="540" w:type="dxa"/>
            <w:tcBorders>
              <w:bottom w:val="single" w:sz="4" w:space="0" w:color="000000"/>
            </w:tcBorders>
            <w:vAlign w:val="center"/>
          </w:tcPr>
          <w:p w14:paraId="08B6EFEB"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6D1EACD6"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w:t>
            </w:r>
          </w:p>
        </w:tc>
        <w:tc>
          <w:tcPr>
            <w:tcW w:w="524" w:type="dxa"/>
            <w:tcBorders>
              <w:bottom w:val="single" w:sz="4" w:space="0" w:color="000000"/>
            </w:tcBorders>
            <w:vAlign w:val="center"/>
          </w:tcPr>
          <w:p w14:paraId="4CD97CDC"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4E97EC26"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0.9</w:t>
            </w:r>
          </w:p>
        </w:tc>
        <w:tc>
          <w:tcPr>
            <w:tcW w:w="1046" w:type="dxa"/>
            <w:tcBorders>
              <w:bottom w:val="single" w:sz="4" w:space="0" w:color="000000"/>
              <w:right w:val="single" w:sz="4" w:space="0" w:color="000000"/>
            </w:tcBorders>
            <w:vAlign w:val="center"/>
          </w:tcPr>
          <w:p w14:paraId="354B3AAF"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0.6</w:t>
            </w:r>
          </w:p>
        </w:tc>
      </w:tr>
      <w:tr w:rsidR="00D86D14" w14:paraId="37B81A26" w14:textId="77777777" w:rsidTr="00D86D14">
        <w:trPr>
          <w:trHeight w:val="256"/>
        </w:trPr>
        <w:tc>
          <w:tcPr>
            <w:tcW w:w="4136" w:type="dxa"/>
            <w:tcBorders>
              <w:left w:val="single" w:sz="4" w:space="0" w:color="000000"/>
              <w:bottom w:val="single" w:sz="4" w:space="0" w:color="000000"/>
            </w:tcBorders>
            <w:vAlign w:val="center"/>
          </w:tcPr>
          <w:p w14:paraId="695A0F56"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Гостиницы, кафе и рестораны</w:t>
            </w:r>
          </w:p>
        </w:tc>
        <w:tc>
          <w:tcPr>
            <w:tcW w:w="1048" w:type="dxa"/>
            <w:tcBorders>
              <w:bottom w:val="single" w:sz="4" w:space="0" w:color="000000"/>
            </w:tcBorders>
            <w:vAlign w:val="center"/>
          </w:tcPr>
          <w:p w14:paraId="3F0B56BF"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1.0</w:t>
            </w:r>
          </w:p>
        </w:tc>
        <w:tc>
          <w:tcPr>
            <w:tcW w:w="540" w:type="dxa"/>
            <w:tcBorders>
              <w:bottom w:val="single" w:sz="4" w:space="0" w:color="000000"/>
            </w:tcBorders>
            <w:vAlign w:val="center"/>
          </w:tcPr>
          <w:p w14:paraId="310BA492"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26B53DF2"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2.0</w:t>
            </w:r>
          </w:p>
        </w:tc>
        <w:tc>
          <w:tcPr>
            <w:tcW w:w="524" w:type="dxa"/>
            <w:tcBorders>
              <w:bottom w:val="single" w:sz="4" w:space="0" w:color="000000"/>
            </w:tcBorders>
            <w:vAlign w:val="center"/>
          </w:tcPr>
          <w:p w14:paraId="12163CA4"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7A211D3E"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5.0</w:t>
            </w:r>
          </w:p>
        </w:tc>
        <w:tc>
          <w:tcPr>
            <w:tcW w:w="1046" w:type="dxa"/>
            <w:tcBorders>
              <w:bottom w:val="single" w:sz="4" w:space="0" w:color="000000"/>
              <w:right w:val="single" w:sz="4" w:space="0" w:color="000000"/>
            </w:tcBorders>
            <w:vAlign w:val="center"/>
          </w:tcPr>
          <w:p w14:paraId="636BC02B"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4.7</w:t>
            </w:r>
          </w:p>
        </w:tc>
      </w:tr>
      <w:tr w:rsidR="00D86D14" w14:paraId="0C284DCB" w14:textId="77777777" w:rsidTr="00D86D14">
        <w:trPr>
          <w:trHeight w:val="256"/>
        </w:trPr>
        <w:tc>
          <w:tcPr>
            <w:tcW w:w="4136" w:type="dxa"/>
            <w:tcBorders>
              <w:left w:val="single" w:sz="4" w:space="0" w:color="000000"/>
              <w:bottom w:val="single" w:sz="4" w:space="0" w:color="000000"/>
            </w:tcBorders>
            <w:vAlign w:val="center"/>
          </w:tcPr>
          <w:p w14:paraId="2CCFE631" w14:textId="77777777" w:rsidR="00D86D14" w:rsidRDefault="00D86D14" w:rsidP="00D86D14">
            <w:pPr>
              <w:widowControl w:val="0"/>
              <w:spacing w:after="0"/>
              <w:ind w:left="720"/>
              <w:rPr>
                <w:rFonts w:ascii="Liberation Serif" w:hAnsi="Liberation Serif"/>
                <w:sz w:val="20"/>
                <w:szCs w:val="20"/>
              </w:rPr>
            </w:pPr>
            <w:r>
              <w:rPr>
                <w:rFonts w:ascii="Liberation Serif" w:hAnsi="Liberation Serif"/>
                <w:sz w:val="20"/>
                <w:szCs w:val="20"/>
              </w:rPr>
              <w:t>Другие товары и услуги</w:t>
            </w:r>
          </w:p>
        </w:tc>
        <w:tc>
          <w:tcPr>
            <w:tcW w:w="1048" w:type="dxa"/>
            <w:tcBorders>
              <w:bottom w:val="single" w:sz="4" w:space="0" w:color="000000"/>
            </w:tcBorders>
            <w:vAlign w:val="center"/>
          </w:tcPr>
          <w:p w14:paraId="3EBEBD18"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5.8</w:t>
            </w:r>
          </w:p>
        </w:tc>
        <w:tc>
          <w:tcPr>
            <w:tcW w:w="540" w:type="dxa"/>
            <w:tcBorders>
              <w:bottom w:val="single" w:sz="4" w:space="0" w:color="000000"/>
            </w:tcBorders>
            <w:vAlign w:val="center"/>
          </w:tcPr>
          <w:p w14:paraId="36690CA6" w14:textId="77777777" w:rsidR="00D86D14" w:rsidRDefault="00D86D14" w:rsidP="00D86D14">
            <w:pPr>
              <w:widowControl w:val="0"/>
              <w:spacing w:after="0"/>
              <w:jc w:val="center"/>
              <w:rPr>
                <w:rFonts w:ascii="Liberation Serif" w:hAnsi="Liberation Serif"/>
                <w:sz w:val="20"/>
                <w:szCs w:val="20"/>
              </w:rPr>
            </w:pPr>
          </w:p>
        </w:tc>
        <w:tc>
          <w:tcPr>
            <w:tcW w:w="1049" w:type="dxa"/>
            <w:tcBorders>
              <w:bottom w:val="single" w:sz="4" w:space="0" w:color="000000"/>
            </w:tcBorders>
            <w:vAlign w:val="center"/>
          </w:tcPr>
          <w:p w14:paraId="7717085B"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6.9</w:t>
            </w:r>
          </w:p>
        </w:tc>
        <w:tc>
          <w:tcPr>
            <w:tcW w:w="524" w:type="dxa"/>
            <w:tcBorders>
              <w:bottom w:val="single" w:sz="4" w:space="0" w:color="000000"/>
            </w:tcBorders>
            <w:vAlign w:val="center"/>
          </w:tcPr>
          <w:p w14:paraId="49A872E9" w14:textId="77777777" w:rsidR="00D86D14" w:rsidRDefault="00D86D14" w:rsidP="00D86D14">
            <w:pPr>
              <w:widowControl w:val="0"/>
              <w:spacing w:after="0"/>
              <w:jc w:val="center"/>
              <w:rPr>
                <w:rFonts w:ascii="Liberation Serif" w:hAnsi="Liberation Serif"/>
                <w:sz w:val="20"/>
                <w:szCs w:val="20"/>
              </w:rPr>
            </w:pPr>
          </w:p>
        </w:tc>
        <w:tc>
          <w:tcPr>
            <w:tcW w:w="1052" w:type="dxa"/>
            <w:tcBorders>
              <w:bottom w:val="single" w:sz="4" w:space="0" w:color="000000"/>
            </w:tcBorders>
            <w:vAlign w:val="center"/>
          </w:tcPr>
          <w:p w14:paraId="5E4D2531"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7.8</w:t>
            </w:r>
          </w:p>
        </w:tc>
        <w:tc>
          <w:tcPr>
            <w:tcW w:w="1046" w:type="dxa"/>
            <w:tcBorders>
              <w:bottom w:val="single" w:sz="4" w:space="0" w:color="000000"/>
              <w:right w:val="single" w:sz="4" w:space="0" w:color="000000"/>
            </w:tcBorders>
            <w:vAlign w:val="center"/>
          </w:tcPr>
          <w:p w14:paraId="5098ACC1" w14:textId="77777777" w:rsidR="00D86D14" w:rsidRDefault="00D86D14" w:rsidP="00D86D14">
            <w:pPr>
              <w:widowControl w:val="0"/>
              <w:spacing w:after="0"/>
              <w:jc w:val="center"/>
              <w:rPr>
                <w:rFonts w:ascii="Liberation Serif" w:hAnsi="Liberation Serif"/>
                <w:sz w:val="20"/>
                <w:szCs w:val="20"/>
              </w:rPr>
            </w:pPr>
            <w:r>
              <w:rPr>
                <w:rFonts w:ascii="Liberation Serif" w:hAnsi="Liberation Serif"/>
                <w:sz w:val="20"/>
                <w:szCs w:val="20"/>
              </w:rPr>
              <w:t>7.6</w:t>
            </w:r>
          </w:p>
        </w:tc>
      </w:tr>
    </w:tbl>
    <w:p w14:paraId="013D2AE2" w14:textId="77777777" w:rsidR="00D86D14" w:rsidRDefault="00D86D14" w:rsidP="00D86D14">
      <w:pPr>
        <w:spacing w:after="0"/>
        <w:ind w:left="-89"/>
        <w:rPr>
          <w:rFonts w:ascii="Liberation Serif" w:hAnsi="Liberation Serif"/>
          <w:sz w:val="24"/>
          <w:szCs w:val="24"/>
        </w:rPr>
      </w:pPr>
      <w:r>
        <w:rPr>
          <w:rFonts w:ascii="Liberation Serif" w:hAnsi="Liberation Serif" w:cs="Times New Roman"/>
          <w:sz w:val="24"/>
          <w:szCs w:val="24"/>
        </w:rPr>
        <w:t>Источник: Росстат (по данным Обследований бюджетов домашних хозяйств)</w:t>
      </w:r>
    </w:p>
    <w:p w14:paraId="3EFEA1F3" w14:textId="77777777" w:rsidR="00905584" w:rsidRDefault="00905584" w:rsidP="007002E6">
      <w:pPr>
        <w:spacing w:line="360" w:lineRule="auto"/>
        <w:ind w:firstLine="567"/>
        <w:jc w:val="both"/>
        <w:rPr>
          <w:rFonts w:ascii="Times New Roman" w:hAnsi="Times New Roman" w:cs="Times New Roman"/>
          <w:sz w:val="28"/>
          <w:szCs w:val="28"/>
        </w:rPr>
      </w:pPr>
    </w:p>
    <w:p w14:paraId="4897CC95" w14:textId="77777777" w:rsidR="000A6929" w:rsidRDefault="000A6929">
      <w:pPr>
        <w:rPr>
          <w:rFonts w:ascii="Times New Roman" w:hAnsi="Times New Roman" w:cs="Times New Roman"/>
          <w:sz w:val="28"/>
          <w:szCs w:val="28"/>
        </w:rPr>
      </w:pPr>
      <w:r>
        <w:rPr>
          <w:rFonts w:ascii="Times New Roman" w:hAnsi="Times New Roman" w:cs="Times New Roman"/>
          <w:sz w:val="28"/>
          <w:szCs w:val="28"/>
        </w:rPr>
        <w:br w:type="page"/>
      </w:r>
    </w:p>
    <w:p w14:paraId="3E5F7B25" w14:textId="2FBDDA8C" w:rsidR="000A6929" w:rsidRPr="000A6929" w:rsidRDefault="000A6929" w:rsidP="000A6929">
      <w:pPr>
        <w:pStyle w:val="1"/>
        <w:numPr>
          <w:ilvl w:val="0"/>
          <w:numId w:val="14"/>
        </w:numPr>
        <w:rPr>
          <w:rFonts w:ascii="Times New Roman" w:hAnsi="Times New Roman" w:cs="Times New Roman"/>
          <w:color w:val="auto"/>
        </w:rPr>
      </w:pPr>
      <w:bookmarkStart w:id="2" w:name="_Toc67417867"/>
      <w:r w:rsidRPr="000A6929">
        <w:rPr>
          <w:rFonts w:ascii="Times New Roman" w:hAnsi="Times New Roman" w:cs="Times New Roman"/>
          <w:color w:val="auto"/>
        </w:rPr>
        <w:t>Целевые ориентиры социальной политики и «общественный договор»</w:t>
      </w:r>
      <w:bookmarkEnd w:id="2"/>
    </w:p>
    <w:p w14:paraId="70040957" w14:textId="77777777" w:rsidR="000A6929" w:rsidRDefault="000A6929" w:rsidP="000A6929">
      <w:pPr>
        <w:pStyle w:val="a5"/>
        <w:rPr>
          <w:rFonts w:ascii="Times New Roman" w:hAnsi="Times New Roman" w:cs="Times New Roman"/>
          <w:i/>
          <w:iCs/>
          <w:sz w:val="32"/>
          <w:szCs w:val="32"/>
        </w:rPr>
      </w:pPr>
    </w:p>
    <w:p w14:paraId="13E833C8" w14:textId="77777777"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сложившейся социально-экономической ситуации вектор социальной политики может быть только один – это повышение доходов населения, устранение неравенства и бедности. Достижение этих целей невозможно без изменения сложившихся пропорций распределения создаваемого в экономике дохода в пользу домохозяйств, что в свою очередь затрагивает интересы всех экономических агентов.</w:t>
      </w:r>
    </w:p>
    <w:p w14:paraId="4E174CFB" w14:textId="473B7428"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Без четкого понимания бизнесом и государством собственных выгод от проведения активной социальной политики, вряд ли можно рассчитывать на успешную перестройку российской экономики в целях решения накопившихся социальных проблем.</w:t>
      </w:r>
    </w:p>
    <w:p w14:paraId="6EF12467" w14:textId="4EE40D15"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Разработка концепции нового социального договора в этой связи является неотъемлемой частью как экономической политики в целом, так и в особенности социальной политики, так как позволяет согласовать интересы населения, государства и бизнеса на пути к достижению целей развития российского общества.</w:t>
      </w:r>
    </w:p>
    <w:p w14:paraId="340E80D9" w14:textId="2E15E2B8" w:rsidR="00964906" w:rsidRPr="00C74417"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 последние 30 лет в стране построена рыночная экономика, полностью изменилась система хозяйствования, распределения доходов, формирования цен и структура производства. Однако за это было заплачено дорогой ценой. </w:t>
      </w:r>
      <w:r w:rsidRPr="00C74417">
        <w:rPr>
          <w:rFonts w:ascii="Times New Roman" w:hAnsi="Times New Roman" w:cs="Times New Roman"/>
          <w:iCs/>
          <w:sz w:val="28"/>
          <w:szCs w:val="28"/>
        </w:rPr>
        <w:t>Эконом</w:t>
      </w:r>
      <w:r w:rsidR="00CA27E5">
        <w:rPr>
          <w:rFonts w:ascii="Times New Roman" w:hAnsi="Times New Roman" w:cs="Times New Roman"/>
          <w:iCs/>
          <w:sz w:val="28"/>
          <w:szCs w:val="28"/>
        </w:rPr>
        <w:t>ические реформы 1980</w:t>
      </w:r>
      <w:r>
        <w:rPr>
          <w:rFonts w:ascii="Times New Roman" w:hAnsi="Times New Roman" w:cs="Times New Roman"/>
          <w:iCs/>
          <w:sz w:val="28"/>
          <w:szCs w:val="28"/>
        </w:rPr>
        <w:t>-1990-ых годов</w:t>
      </w:r>
      <w:r w:rsidRPr="00C74417">
        <w:rPr>
          <w:rFonts w:ascii="Times New Roman" w:hAnsi="Times New Roman" w:cs="Times New Roman"/>
          <w:iCs/>
          <w:sz w:val="28"/>
          <w:szCs w:val="28"/>
        </w:rPr>
        <w:t xml:space="preserve"> привели к снижению уровня жизни </w:t>
      </w:r>
      <w:r>
        <w:rPr>
          <w:rFonts w:ascii="Times New Roman" w:hAnsi="Times New Roman" w:cs="Times New Roman"/>
          <w:iCs/>
          <w:sz w:val="28"/>
          <w:szCs w:val="28"/>
        </w:rPr>
        <w:t>значительной части населения</w:t>
      </w:r>
      <w:r w:rsidRPr="00C74417">
        <w:rPr>
          <w:rFonts w:ascii="Times New Roman" w:hAnsi="Times New Roman" w:cs="Times New Roman"/>
          <w:iCs/>
          <w:sz w:val="28"/>
          <w:szCs w:val="28"/>
        </w:rPr>
        <w:t xml:space="preserve">. </w:t>
      </w:r>
      <w:r>
        <w:rPr>
          <w:rFonts w:ascii="Times New Roman" w:hAnsi="Times New Roman" w:cs="Times New Roman"/>
          <w:iCs/>
          <w:sz w:val="28"/>
          <w:szCs w:val="28"/>
        </w:rPr>
        <w:t>Произошедшее перераспределение собственности</w:t>
      </w:r>
      <w:r w:rsidRPr="00C74417">
        <w:rPr>
          <w:rFonts w:ascii="Times New Roman" w:hAnsi="Times New Roman" w:cs="Times New Roman"/>
          <w:iCs/>
          <w:sz w:val="28"/>
          <w:szCs w:val="28"/>
        </w:rPr>
        <w:t xml:space="preserve"> привел</w:t>
      </w:r>
      <w:r>
        <w:rPr>
          <w:rFonts w:ascii="Times New Roman" w:hAnsi="Times New Roman" w:cs="Times New Roman"/>
          <w:iCs/>
          <w:sz w:val="28"/>
          <w:szCs w:val="28"/>
        </w:rPr>
        <w:t>о</w:t>
      </w:r>
      <w:r w:rsidRPr="00C74417">
        <w:rPr>
          <w:rFonts w:ascii="Times New Roman" w:hAnsi="Times New Roman" w:cs="Times New Roman"/>
          <w:iCs/>
          <w:sz w:val="28"/>
          <w:szCs w:val="28"/>
        </w:rPr>
        <w:t xml:space="preserve"> к существенному расслоению общества и формированию экономики, устойчиво воспроизводящей чрезмерно высокий уровень дифференциации по доходам.</w:t>
      </w:r>
      <w:r>
        <w:rPr>
          <w:rFonts w:ascii="Times New Roman" w:hAnsi="Times New Roman" w:cs="Times New Roman"/>
          <w:iCs/>
          <w:sz w:val="28"/>
          <w:szCs w:val="28"/>
        </w:rPr>
        <w:t xml:space="preserve"> Отчасти эта ситуация была компенсирована в результате восстановительного роста 2000-х годов, однако торможение роста доходов в период после кризиса </w:t>
      </w:r>
      <w:proofErr w:type="gramStart"/>
      <w:r>
        <w:rPr>
          <w:rFonts w:ascii="Times New Roman" w:hAnsi="Times New Roman" w:cs="Times New Roman"/>
          <w:iCs/>
          <w:sz w:val="28"/>
          <w:szCs w:val="28"/>
        </w:rPr>
        <w:t>2008-2009</w:t>
      </w:r>
      <w:proofErr w:type="gramEnd"/>
      <w:r>
        <w:rPr>
          <w:rFonts w:ascii="Times New Roman" w:hAnsi="Times New Roman" w:cs="Times New Roman"/>
          <w:iCs/>
          <w:sz w:val="28"/>
          <w:szCs w:val="28"/>
        </w:rPr>
        <w:t xml:space="preserve"> гг. вновь сделали низкий уровень жизни населения ключевым ограничением для развития российской экономики. </w:t>
      </w:r>
      <w:r w:rsidRPr="00C74417">
        <w:rPr>
          <w:rFonts w:ascii="Times New Roman" w:hAnsi="Times New Roman" w:cs="Times New Roman"/>
          <w:iCs/>
          <w:sz w:val="28"/>
          <w:szCs w:val="28"/>
        </w:rPr>
        <w:t>Сложивш</w:t>
      </w:r>
      <w:r w:rsidR="001E5411">
        <w:rPr>
          <w:rFonts w:ascii="Times New Roman" w:hAnsi="Times New Roman" w:cs="Times New Roman"/>
          <w:iCs/>
          <w:sz w:val="28"/>
          <w:szCs w:val="28"/>
        </w:rPr>
        <w:t>е</w:t>
      </w:r>
      <w:r w:rsidRPr="00C74417">
        <w:rPr>
          <w:rFonts w:ascii="Times New Roman" w:hAnsi="Times New Roman" w:cs="Times New Roman"/>
          <w:iCs/>
          <w:sz w:val="28"/>
          <w:szCs w:val="28"/>
        </w:rPr>
        <w:t>еся распределение создаваемого обществом дохода должно быть признано несправедливым</w:t>
      </w:r>
      <w:r>
        <w:rPr>
          <w:rFonts w:ascii="Times New Roman" w:hAnsi="Times New Roman" w:cs="Times New Roman"/>
          <w:iCs/>
          <w:sz w:val="28"/>
          <w:szCs w:val="28"/>
        </w:rPr>
        <w:t xml:space="preserve"> и не эффективным с точки зрения целей развития экономики.</w:t>
      </w:r>
    </w:p>
    <w:p w14:paraId="2B71E15F" w14:textId="59D6AC7B"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Конструктивный сценарий развития эконо</w:t>
      </w:r>
      <w:r w:rsidR="00CA27E5">
        <w:rPr>
          <w:rFonts w:ascii="Times New Roman" w:hAnsi="Times New Roman" w:cs="Times New Roman"/>
          <w:iCs/>
          <w:sz w:val="28"/>
          <w:szCs w:val="28"/>
        </w:rPr>
        <w:t>мики и общества может быть</w:t>
      </w:r>
      <w:r w:rsidRPr="00C74417">
        <w:rPr>
          <w:rFonts w:ascii="Times New Roman" w:hAnsi="Times New Roman" w:cs="Times New Roman"/>
          <w:iCs/>
          <w:sz w:val="28"/>
          <w:szCs w:val="28"/>
        </w:rPr>
        <w:t xml:space="preserve"> построен только на фундаменте объективных оценок существующего положения и причин, которые привели к его формированию. Без </w:t>
      </w:r>
      <w:r>
        <w:rPr>
          <w:rFonts w:ascii="Times New Roman" w:hAnsi="Times New Roman" w:cs="Times New Roman"/>
          <w:iCs/>
          <w:sz w:val="28"/>
          <w:szCs w:val="28"/>
        </w:rPr>
        <w:t>осознания</w:t>
      </w:r>
      <w:r w:rsidRPr="00C74417">
        <w:rPr>
          <w:rFonts w:ascii="Times New Roman" w:hAnsi="Times New Roman" w:cs="Times New Roman"/>
          <w:iCs/>
          <w:sz w:val="28"/>
          <w:szCs w:val="28"/>
        </w:rPr>
        <w:t xml:space="preserve"> </w:t>
      </w:r>
      <w:r>
        <w:rPr>
          <w:rFonts w:ascii="Times New Roman" w:hAnsi="Times New Roman" w:cs="Times New Roman"/>
          <w:iCs/>
          <w:sz w:val="28"/>
          <w:szCs w:val="28"/>
        </w:rPr>
        <w:t xml:space="preserve">проблем в механизмах формирования и распределения доходов </w:t>
      </w:r>
      <w:r w:rsidRPr="00C74417">
        <w:rPr>
          <w:rFonts w:ascii="Times New Roman" w:hAnsi="Times New Roman" w:cs="Times New Roman"/>
          <w:iCs/>
          <w:sz w:val="28"/>
          <w:szCs w:val="28"/>
        </w:rPr>
        <w:t xml:space="preserve">невозможно рассчитывать на </w:t>
      </w:r>
      <w:r>
        <w:rPr>
          <w:rFonts w:ascii="Times New Roman" w:hAnsi="Times New Roman" w:cs="Times New Roman"/>
          <w:iCs/>
          <w:sz w:val="28"/>
          <w:szCs w:val="28"/>
        </w:rPr>
        <w:t>построение</w:t>
      </w:r>
      <w:r w:rsidRPr="00C74417">
        <w:rPr>
          <w:rFonts w:ascii="Times New Roman" w:hAnsi="Times New Roman" w:cs="Times New Roman"/>
          <w:iCs/>
          <w:sz w:val="28"/>
          <w:szCs w:val="28"/>
        </w:rPr>
        <w:t xml:space="preserve"> прочного общественного договора между бизнесом государством и населением.</w:t>
      </w:r>
      <w:r>
        <w:rPr>
          <w:rFonts w:ascii="Times New Roman" w:hAnsi="Times New Roman" w:cs="Times New Roman"/>
          <w:iCs/>
          <w:sz w:val="28"/>
          <w:szCs w:val="28"/>
        </w:rPr>
        <w:t xml:space="preserve"> Ограничения развития, которые возникают из-за низкого уровня доходов значительной части населения, не могут не беспокоить не только государство, но и бизнес. Высокий уровень доходов формирует спрос и снижает необходимость дополнительных и не всегда эффективных вложений в социальную поддержку населения. Необходимо найти </w:t>
      </w:r>
      <w:r w:rsidRPr="00C74417">
        <w:rPr>
          <w:rFonts w:ascii="Times New Roman" w:hAnsi="Times New Roman" w:cs="Times New Roman"/>
          <w:iCs/>
          <w:sz w:val="28"/>
          <w:szCs w:val="28"/>
        </w:rPr>
        <w:t>баланс</w:t>
      </w:r>
      <w:r>
        <w:rPr>
          <w:rFonts w:ascii="Times New Roman" w:hAnsi="Times New Roman" w:cs="Times New Roman"/>
          <w:iCs/>
          <w:sz w:val="28"/>
          <w:szCs w:val="28"/>
        </w:rPr>
        <w:t xml:space="preserve"> интересов на основе</w:t>
      </w:r>
      <w:r w:rsidRPr="00C74417">
        <w:rPr>
          <w:rFonts w:ascii="Times New Roman" w:hAnsi="Times New Roman" w:cs="Times New Roman"/>
          <w:iCs/>
          <w:sz w:val="28"/>
          <w:szCs w:val="28"/>
        </w:rPr>
        <w:t xml:space="preserve"> взаимного доверия</w:t>
      </w:r>
      <w:r>
        <w:rPr>
          <w:rFonts w:ascii="Times New Roman" w:hAnsi="Times New Roman" w:cs="Times New Roman"/>
          <w:iCs/>
          <w:sz w:val="28"/>
          <w:szCs w:val="28"/>
        </w:rPr>
        <w:t>, который может противостоять как естественным ограничениям роста экономики, связанными с демографическими или технологическими факторами, так</w:t>
      </w:r>
      <w:r w:rsidRPr="00C74417">
        <w:rPr>
          <w:rFonts w:ascii="Times New Roman" w:hAnsi="Times New Roman" w:cs="Times New Roman"/>
          <w:iCs/>
          <w:sz w:val="28"/>
          <w:szCs w:val="28"/>
        </w:rPr>
        <w:t xml:space="preserve"> и </w:t>
      </w:r>
      <w:r>
        <w:rPr>
          <w:rFonts w:ascii="Times New Roman" w:hAnsi="Times New Roman" w:cs="Times New Roman"/>
          <w:iCs/>
          <w:sz w:val="28"/>
          <w:szCs w:val="28"/>
        </w:rPr>
        <w:t>обеспечивать устойчивое развитие в условиях</w:t>
      </w:r>
      <w:r w:rsidRPr="00C74417">
        <w:rPr>
          <w:rFonts w:ascii="Times New Roman" w:hAnsi="Times New Roman" w:cs="Times New Roman"/>
          <w:iCs/>
          <w:sz w:val="28"/>
          <w:szCs w:val="28"/>
        </w:rPr>
        <w:t xml:space="preserve"> усиления внешнего давления.</w:t>
      </w:r>
    </w:p>
    <w:p w14:paraId="4ADFB980" w14:textId="74921A26"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Таким образом</w:t>
      </w:r>
      <w:r>
        <w:rPr>
          <w:rFonts w:ascii="Times New Roman" w:hAnsi="Times New Roman" w:cs="Times New Roman"/>
          <w:iCs/>
          <w:sz w:val="28"/>
          <w:szCs w:val="28"/>
        </w:rPr>
        <w:t>,</w:t>
      </w:r>
      <w:r w:rsidRPr="00C74417">
        <w:rPr>
          <w:rFonts w:ascii="Times New Roman" w:hAnsi="Times New Roman" w:cs="Times New Roman"/>
          <w:iCs/>
          <w:sz w:val="28"/>
          <w:szCs w:val="28"/>
        </w:rPr>
        <w:t xml:space="preserve"> </w:t>
      </w:r>
      <w:r>
        <w:rPr>
          <w:rFonts w:ascii="Times New Roman" w:hAnsi="Times New Roman" w:cs="Times New Roman"/>
          <w:iCs/>
          <w:sz w:val="28"/>
          <w:szCs w:val="28"/>
        </w:rPr>
        <w:t>ключевой предпосылкой</w:t>
      </w:r>
      <w:r w:rsidRPr="00C74417">
        <w:rPr>
          <w:rFonts w:ascii="Times New Roman" w:hAnsi="Times New Roman" w:cs="Times New Roman"/>
          <w:iCs/>
          <w:sz w:val="28"/>
          <w:szCs w:val="28"/>
        </w:rPr>
        <w:t xml:space="preserve"> для создания нового взаимовыгодного</w:t>
      </w:r>
      <w:r>
        <w:rPr>
          <w:rFonts w:ascii="Times New Roman" w:hAnsi="Times New Roman" w:cs="Times New Roman"/>
          <w:iCs/>
          <w:sz w:val="28"/>
          <w:szCs w:val="28"/>
        </w:rPr>
        <w:t xml:space="preserve"> и</w:t>
      </w:r>
      <w:r w:rsidRPr="00C74417">
        <w:rPr>
          <w:rFonts w:ascii="Times New Roman" w:hAnsi="Times New Roman" w:cs="Times New Roman"/>
          <w:iCs/>
          <w:sz w:val="28"/>
          <w:szCs w:val="28"/>
        </w:rPr>
        <w:t xml:space="preserve"> устойчивого баланса интересов является концентрация экономической политики на </w:t>
      </w:r>
      <w:r>
        <w:rPr>
          <w:rFonts w:ascii="Times New Roman" w:hAnsi="Times New Roman" w:cs="Times New Roman"/>
          <w:iCs/>
          <w:sz w:val="28"/>
          <w:szCs w:val="28"/>
        </w:rPr>
        <w:t>задаче</w:t>
      </w:r>
      <w:r w:rsidRPr="00C74417">
        <w:rPr>
          <w:rFonts w:ascii="Times New Roman" w:hAnsi="Times New Roman" w:cs="Times New Roman"/>
          <w:iCs/>
          <w:sz w:val="28"/>
          <w:szCs w:val="28"/>
        </w:rPr>
        <w:t xml:space="preserve"> устранени</w:t>
      </w:r>
      <w:r>
        <w:rPr>
          <w:rFonts w:ascii="Times New Roman" w:hAnsi="Times New Roman" w:cs="Times New Roman"/>
          <w:iCs/>
          <w:sz w:val="28"/>
          <w:szCs w:val="28"/>
        </w:rPr>
        <w:t>я</w:t>
      </w:r>
      <w:r w:rsidRPr="00C74417">
        <w:rPr>
          <w:rFonts w:ascii="Times New Roman" w:hAnsi="Times New Roman" w:cs="Times New Roman"/>
          <w:iCs/>
          <w:sz w:val="28"/>
          <w:szCs w:val="28"/>
        </w:rPr>
        <w:t xml:space="preserve"> </w:t>
      </w:r>
      <w:r>
        <w:rPr>
          <w:rFonts w:ascii="Times New Roman" w:hAnsi="Times New Roman" w:cs="Times New Roman"/>
          <w:iCs/>
          <w:sz w:val="28"/>
          <w:szCs w:val="28"/>
        </w:rPr>
        <w:t>наиболее вопиющих разрывов в уровне жизни</w:t>
      </w:r>
      <w:r w:rsidRPr="00C74417">
        <w:rPr>
          <w:rFonts w:ascii="Times New Roman" w:hAnsi="Times New Roman" w:cs="Times New Roman"/>
          <w:iCs/>
          <w:sz w:val="28"/>
          <w:szCs w:val="28"/>
        </w:rPr>
        <w:t>, разделяющ</w:t>
      </w:r>
      <w:r>
        <w:rPr>
          <w:rFonts w:ascii="Times New Roman" w:hAnsi="Times New Roman" w:cs="Times New Roman"/>
          <w:iCs/>
          <w:sz w:val="28"/>
          <w:szCs w:val="28"/>
        </w:rPr>
        <w:t xml:space="preserve">их </w:t>
      </w:r>
      <w:r w:rsidRPr="00C74417">
        <w:rPr>
          <w:rFonts w:ascii="Times New Roman" w:hAnsi="Times New Roman" w:cs="Times New Roman"/>
          <w:iCs/>
          <w:sz w:val="28"/>
          <w:szCs w:val="28"/>
        </w:rPr>
        <w:t>российское общество</w:t>
      </w:r>
      <w:r w:rsidR="0015778E">
        <w:rPr>
          <w:rStyle w:val="ad"/>
          <w:rFonts w:ascii="Times New Roman" w:hAnsi="Times New Roman" w:cs="Times New Roman"/>
          <w:iCs/>
          <w:sz w:val="28"/>
          <w:szCs w:val="28"/>
        </w:rPr>
        <w:footnoteReference w:id="5"/>
      </w:r>
      <w:r w:rsidRPr="00C74417">
        <w:rPr>
          <w:rFonts w:ascii="Times New Roman" w:hAnsi="Times New Roman" w:cs="Times New Roman"/>
          <w:iCs/>
          <w:sz w:val="28"/>
          <w:szCs w:val="28"/>
        </w:rPr>
        <w:t>.</w:t>
      </w:r>
      <w:r>
        <w:rPr>
          <w:rFonts w:ascii="Times New Roman" w:hAnsi="Times New Roman" w:cs="Times New Roman"/>
          <w:iCs/>
          <w:sz w:val="28"/>
          <w:szCs w:val="28"/>
        </w:rPr>
        <w:t xml:space="preserve"> По справедливому замечанию академика В.В. </w:t>
      </w:r>
      <w:proofErr w:type="spellStart"/>
      <w:r>
        <w:rPr>
          <w:rFonts w:ascii="Times New Roman" w:hAnsi="Times New Roman" w:cs="Times New Roman"/>
          <w:iCs/>
          <w:sz w:val="28"/>
          <w:szCs w:val="28"/>
        </w:rPr>
        <w:t>Ивантера</w:t>
      </w:r>
      <w:proofErr w:type="spellEnd"/>
      <w:r>
        <w:rPr>
          <w:rFonts w:ascii="Times New Roman" w:hAnsi="Times New Roman" w:cs="Times New Roman"/>
          <w:iCs/>
          <w:sz w:val="28"/>
          <w:szCs w:val="28"/>
        </w:rPr>
        <w:t xml:space="preserve"> в 2000-е годы мы почти победили нищету, но не бедность. По-видимому, полная победа над бедностью в современном обществе невозможна, но существенное ее сокращение носит необходимый характер.</w:t>
      </w:r>
    </w:p>
    <w:p w14:paraId="03DC41FD" w14:textId="77777777"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Основными приоритетами населения</w:t>
      </w:r>
      <w:r>
        <w:rPr>
          <w:rFonts w:ascii="Times New Roman" w:hAnsi="Times New Roman" w:cs="Times New Roman"/>
          <w:iCs/>
          <w:sz w:val="28"/>
          <w:szCs w:val="28"/>
        </w:rPr>
        <w:t xml:space="preserve"> нашей страны</w:t>
      </w:r>
      <w:r w:rsidRPr="00C74417">
        <w:rPr>
          <w:rFonts w:ascii="Times New Roman" w:hAnsi="Times New Roman" w:cs="Times New Roman"/>
          <w:iCs/>
          <w:sz w:val="28"/>
          <w:szCs w:val="28"/>
        </w:rPr>
        <w:t xml:space="preserve"> является справедливое общество, повышение уровня жизни, сохранение политической и социальной стабильности</w:t>
      </w:r>
      <w:r>
        <w:rPr>
          <w:rFonts w:ascii="Times New Roman" w:hAnsi="Times New Roman" w:cs="Times New Roman"/>
          <w:iCs/>
          <w:sz w:val="28"/>
          <w:szCs w:val="28"/>
        </w:rPr>
        <w:t xml:space="preserve"> с опорой на</w:t>
      </w:r>
      <w:r w:rsidRPr="00C74417">
        <w:rPr>
          <w:rFonts w:ascii="Times New Roman" w:hAnsi="Times New Roman" w:cs="Times New Roman"/>
          <w:iCs/>
          <w:sz w:val="28"/>
          <w:szCs w:val="28"/>
        </w:rPr>
        <w:t xml:space="preserve"> традиционны</w:t>
      </w:r>
      <w:r>
        <w:rPr>
          <w:rFonts w:ascii="Times New Roman" w:hAnsi="Times New Roman" w:cs="Times New Roman"/>
          <w:iCs/>
          <w:sz w:val="28"/>
          <w:szCs w:val="28"/>
        </w:rPr>
        <w:t>е</w:t>
      </w:r>
      <w:r w:rsidRPr="00C74417">
        <w:rPr>
          <w:rFonts w:ascii="Times New Roman" w:hAnsi="Times New Roman" w:cs="Times New Roman"/>
          <w:iCs/>
          <w:sz w:val="28"/>
          <w:szCs w:val="28"/>
        </w:rPr>
        <w:t xml:space="preserve"> ценност</w:t>
      </w:r>
      <w:r>
        <w:rPr>
          <w:rFonts w:ascii="Times New Roman" w:hAnsi="Times New Roman" w:cs="Times New Roman"/>
          <w:iCs/>
          <w:sz w:val="28"/>
          <w:szCs w:val="28"/>
        </w:rPr>
        <w:t>и. В свою очередь г</w:t>
      </w:r>
      <w:r w:rsidRPr="00C74417">
        <w:rPr>
          <w:rFonts w:ascii="Times New Roman" w:hAnsi="Times New Roman" w:cs="Times New Roman"/>
          <w:iCs/>
          <w:sz w:val="28"/>
          <w:szCs w:val="28"/>
        </w:rPr>
        <w:t>осударство</w:t>
      </w:r>
      <w:r>
        <w:rPr>
          <w:rFonts w:ascii="Times New Roman" w:hAnsi="Times New Roman" w:cs="Times New Roman"/>
          <w:iCs/>
          <w:sz w:val="28"/>
          <w:szCs w:val="28"/>
        </w:rPr>
        <w:t>,</w:t>
      </w:r>
      <w:r w:rsidRPr="00C74417">
        <w:rPr>
          <w:rFonts w:ascii="Times New Roman" w:hAnsi="Times New Roman" w:cs="Times New Roman"/>
          <w:iCs/>
          <w:sz w:val="28"/>
          <w:szCs w:val="28"/>
        </w:rPr>
        <w:t xml:space="preserve"> прежде всего</w:t>
      </w:r>
      <w:r>
        <w:rPr>
          <w:rFonts w:ascii="Times New Roman" w:hAnsi="Times New Roman" w:cs="Times New Roman"/>
          <w:iCs/>
          <w:sz w:val="28"/>
          <w:szCs w:val="28"/>
        </w:rPr>
        <w:t>,</w:t>
      </w:r>
      <w:r w:rsidRPr="00C74417">
        <w:rPr>
          <w:rFonts w:ascii="Times New Roman" w:hAnsi="Times New Roman" w:cs="Times New Roman"/>
          <w:iCs/>
          <w:sz w:val="28"/>
          <w:szCs w:val="28"/>
        </w:rPr>
        <w:t xml:space="preserve"> заинтересовано в сохранении </w:t>
      </w:r>
      <w:r>
        <w:rPr>
          <w:rFonts w:ascii="Times New Roman" w:hAnsi="Times New Roman" w:cs="Times New Roman"/>
          <w:iCs/>
          <w:sz w:val="28"/>
          <w:szCs w:val="28"/>
        </w:rPr>
        <w:t xml:space="preserve">своей </w:t>
      </w:r>
      <w:r w:rsidRPr="00C74417">
        <w:rPr>
          <w:rFonts w:ascii="Times New Roman" w:hAnsi="Times New Roman" w:cs="Times New Roman"/>
          <w:iCs/>
          <w:sz w:val="28"/>
          <w:szCs w:val="28"/>
        </w:rPr>
        <w:t>целостности и устойчивости, что невозможно без</w:t>
      </w:r>
      <w:r>
        <w:rPr>
          <w:rFonts w:ascii="Times New Roman" w:hAnsi="Times New Roman" w:cs="Times New Roman"/>
          <w:iCs/>
          <w:sz w:val="28"/>
          <w:szCs w:val="28"/>
        </w:rPr>
        <w:t xml:space="preserve"> постоянной</w:t>
      </w:r>
      <w:r w:rsidRPr="00C74417">
        <w:rPr>
          <w:rFonts w:ascii="Times New Roman" w:hAnsi="Times New Roman" w:cs="Times New Roman"/>
          <w:iCs/>
          <w:sz w:val="28"/>
          <w:szCs w:val="28"/>
        </w:rPr>
        <w:t xml:space="preserve"> поддержки с</w:t>
      </w:r>
      <w:r>
        <w:rPr>
          <w:rFonts w:ascii="Times New Roman" w:hAnsi="Times New Roman" w:cs="Times New Roman"/>
          <w:iCs/>
          <w:sz w:val="28"/>
          <w:szCs w:val="28"/>
        </w:rPr>
        <w:t xml:space="preserve">о стороны населения и бизнеса. </w:t>
      </w:r>
    </w:p>
    <w:p w14:paraId="33DC3C43" w14:textId="77777777" w:rsidR="00964906" w:rsidRPr="009806CF"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Интерес бизнеса заключается прежде всего в расширении рынков сбыта и перспективах роста, наличии ясных и понятных правил игры, минимизации влияния государственной бюрократии на экономическую деятельность.</w:t>
      </w:r>
    </w:p>
    <w:p w14:paraId="23009668" w14:textId="77777777"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 xml:space="preserve">Интересы участников </w:t>
      </w:r>
      <w:r>
        <w:rPr>
          <w:rFonts w:ascii="Times New Roman" w:hAnsi="Times New Roman" w:cs="Times New Roman"/>
          <w:iCs/>
          <w:sz w:val="28"/>
          <w:szCs w:val="28"/>
        </w:rPr>
        <w:t>«</w:t>
      </w:r>
      <w:r w:rsidRPr="00C74417">
        <w:rPr>
          <w:rFonts w:ascii="Times New Roman" w:hAnsi="Times New Roman" w:cs="Times New Roman"/>
          <w:iCs/>
          <w:sz w:val="28"/>
          <w:szCs w:val="28"/>
        </w:rPr>
        <w:t>общественного договора</w:t>
      </w:r>
      <w:r>
        <w:rPr>
          <w:rFonts w:ascii="Times New Roman" w:hAnsi="Times New Roman" w:cs="Times New Roman"/>
          <w:iCs/>
          <w:sz w:val="28"/>
          <w:szCs w:val="28"/>
        </w:rPr>
        <w:t>»</w:t>
      </w:r>
      <w:r w:rsidRPr="00C74417">
        <w:rPr>
          <w:rFonts w:ascii="Times New Roman" w:hAnsi="Times New Roman" w:cs="Times New Roman"/>
          <w:iCs/>
          <w:sz w:val="28"/>
          <w:szCs w:val="28"/>
        </w:rPr>
        <w:t xml:space="preserve"> </w:t>
      </w:r>
      <w:r>
        <w:rPr>
          <w:rFonts w:ascii="Times New Roman" w:hAnsi="Times New Roman" w:cs="Times New Roman"/>
          <w:iCs/>
          <w:sz w:val="28"/>
          <w:szCs w:val="28"/>
        </w:rPr>
        <w:t>совпадают</w:t>
      </w:r>
      <w:r w:rsidRPr="00C74417">
        <w:rPr>
          <w:rFonts w:ascii="Times New Roman" w:hAnsi="Times New Roman" w:cs="Times New Roman"/>
          <w:iCs/>
          <w:sz w:val="28"/>
          <w:szCs w:val="28"/>
        </w:rPr>
        <w:t>, по сути, в отношении необходимости обеспечения социальной и политической стабильности. Однако</w:t>
      </w:r>
      <w:r w:rsidRPr="00B40104">
        <w:rPr>
          <w:rFonts w:ascii="Times New Roman" w:hAnsi="Times New Roman" w:cs="Times New Roman"/>
          <w:iCs/>
          <w:sz w:val="28"/>
          <w:szCs w:val="28"/>
        </w:rPr>
        <w:t xml:space="preserve"> </w:t>
      </w:r>
      <w:r>
        <w:rPr>
          <w:rFonts w:ascii="Times New Roman" w:hAnsi="Times New Roman" w:cs="Times New Roman"/>
          <w:iCs/>
          <w:sz w:val="28"/>
          <w:szCs w:val="28"/>
        </w:rPr>
        <w:t>одной</w:t>
      </w:r>
      <w:r w:rsidRPr="00C74417">
        <w:rPr>
          <w:rFonts w:ascii="Times New Roman" w:hAnsi="Times New Roman" w:cs="Times New Roman"/>
          <w:iCs/>
          <w:sz w:val="28"/>
          <w:szCs w:val="28"/>
        </w:rPr>
        <w:t xml:space="preserve"> этой связывающей силы может оказаться недостаточн</w:t>
      </w:r>
      <w:r>
        <w:rPr>
          <w:rFonts w:ascii="Times New Roman" w:hAnsi="Times New Roman" w:cs="Times New Roman"/>
          <w:iCs/>
          <w:sz w:val="28"/>
          <w:szCs w:val="28"/>
        </w:rPr>
        <w:t>о</w:t>
      </w:r>
      <w:r w:rsidRPr="00C74417">
        <w:rPr>
          <w:rFonts w:ascii="Times New Roman" w:hAnsi="Times New Roman" w:cs="Times New Roman"/>
          <w:iCs/>
          <w:sz w:val="28"/>
          <w:szCs w:val="28"/>
        </w:rPr>
        <w:t xml:space="preserve"> для обеспечения устойчивост</w:t>
      </w:r>
      <w:r>
        <w:rPr>
          <w:rFonts w:ascii="Times New Roman" w:hAnsi="Times New Roman" w:cs="Times New Roman"/>
          <w:iCs/>
          <w:sz w:val="28"/>
          <w:szCs w:val="28"/>
        </w:rPr>
        <w:t>и</w:t>
      </w:r>
      <w:r w:rsidRPr="00C74417">
        <w:rPr>
          <w:rFonts w:ascii="Times New Roman" w:hAnsi="Times New Roman" w:cs="Times New Roman"/>
          <w:iCs/>
          <w:sz w:val="28"/>
          <w:szCs w:val="28"/>
        </w:rPr>
        <w:t xml:space="preserve"> общества перед усиливающимся внешним давлением и в условиях продолжающе</w:t>
      </w:r>
      <w:r>
        <w:rPr>
          <w:rFonts w:ascii="Times New Roman" w:hAnsi="Times New Roman" w:cs="Times New Roman"/>
          <w:iCs/>
          <w:sz w:val="28"/>
          <w:szCs w:val="28"/>
        </w:rPr>
        <w:t>йся</w:t>
      </w:r>
      <w:r w:rsidRPr="00C74417">
        <w:rPr>
          <w:rFonts w:ascii="Times New Roman" w:hAnsi="Times New Roman" w:cs="Times New Roman"/>
          <w:iCs/>
          <w:sz w:val="28"/>
          <w:szCs w:val="28"/>
        </w:rPr>
        <w:t xml:space="preserve"> </w:t>
      </w:r>
      <w:r>
        <w:rPr>
          <w:rFonts w:ascii="Times New Roman" w:hAnsi="Times New Roman" w:cs="Times New Roman"/>
          <w:iCs/>
          <w:sz w:val="28"/>
          <w:szCs w:val="28"/>
        </w:rPr>
        <w:t>стагнации уровня жизни</w:t>
      </w:r>
      <w:r w:rsidRPr="00C74417">
        <w:rPr>
          <w:rFonts w:ascii="Times New Roman" w:hAnsi="Times New Roman" w:cs="Times New Roman"/>
          <w:iCs/>
          <w:sz w:val="28"/>
          <w:szCs w:val="28"/>
        </w:rPr>
        <w:t>.</w:t>
      </w:r>
      <w:r>
        <w:rPr>
          <w:rFonts w:ascii="Times New Roman" w:hAnsi="Times New Roman" w:cs="Times New Roman"/>
          <w:iCs/>
          <w:sz w:val="28"/>
          <w:szCs w:val="28"/>
        </w:rPr>
        <w:t xml:space="preserve"> Людям необходимо вернуть уверенность в перспективах позитивного развитии общества, поступательном улучшении материального благополучия, доступности всех общественных благ, гарантированных Конституцией Российской Федерации. </w:t>
      </w:r>
    </w:p>
    <w:p w14:paraId="6896D2DE" w14:textId="1BA3E0EC"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Вторым объединяющим общество фактором долж</w:t>
      </w:r>
      <w:r>
        <w:rPr>
          <w:rFonts w:ascii="Times New Roman" w:hAnsi="Times New Roman" w:cs="Times New Roman"/>
          <w:iCs/>
          <w:sz w:val="28"/>
          <w:szCs w:val="28"/>
        </w:rPr>
        <w:t>но</w:t>
      </w:r>
      <w:r w:rsidRPr="00C74417">
        <w:rPr>
          <w:rFonts w:ascii="Times New Roman" w:hAnsi="Times New Roman" w:cs="Times New Roman"/>
          <w:iCs/>
          <w:sz w:val="28"/>
          <w:szCs w:val="28"/>
        </w:rPr>
        <w:t xml:space="preserve"> стать </w:t>
      </w:r>
      <w:r>
        <w:rPr>
          <w:rFonts w:ascii="Times New Roman" w:hAnsi="Times New Roman" w:cs="Times New Roman"/>
          <w:iCs/>
          <w:sz w:val="28"/>
          <w:szCs w:val="28"/>
        </w:rPr>
        <w:t>обеспечение справедливости в процессе распределения формируемых в обществе доходов. Речь не идет о том, чтобы</w:t>
      </w:r>
      <w:r w:rsidR="00CA27E5">
        <w:rPr>
          <w:rFonts w:ascii="Times New Roman" w:hAnsi="Times New Roman" w:cs="Times New Roman"/>
          <w:iCs/>
          <w:sz w:val="28"/>
          <w:szCs w:val="28"/>
        </w:rPr>
        <w:t xml:space="preserve"> исключительно</w:t>
      </w:r>
      <w:r>
        <w:rPr>
          <w:rFonts w:ascii="Times New Roman" w:hAnsi="Times New Roman" w:cs="Times New Roman"/>
          <w:iCs/>
          <w:sz w:val="28"/>
          <w:szCs w:val="28"/>
        </w:rPr>
        <w:t xml:space="preserve"> отбирать собственность и доходы у одних и передавать их другим. Необходимо обеспечить возможность работать и получать достойное вознаграждение за труд всем слоям населения</w:t>
      </w:r>
      <w:r w:rsidRPr="00C74417">
        <w:rPr>
          <w:rFonts w:ascii="Times New Roman" w:hAnsi="Times New Roman" w:cs="Times New Roman"/>
          <w:iCs/>
          <w:sz w:val="28"/>
          <w:szCs w:val="28"/>
        </w:rPr>
        <w:t>.</w:t>
      </w:r>
      <w:r>
        <w:rPr>
          <w:rFonts w:ascii="Times New Roman" w:hAnsi="Times New Roman" w:cs="Times New Roman"/>
          <w:iCs/>
          <w:sz w:val="28"/>
          <w:szCs w:val="28"/>
        </w:rPr>
        <w:t xml:space="preserve"> Для этого нужно выстраивать механизмы взаимодействия крупного, среднего и малого бизнеса на основе развития системы производственных связей и кооперации. Необходимо восстановить общественное уважение к добросовестному многолетнему труду работающих в реальном секторе, сельском хозяйстве, в науке, системе образования и здравоохранения.</w:t>
      </w:r>
    </w:p>
    <w:p w14:paraId="7D248C99" w14:textId="071514E3" w:rsidR="00964906" w:rsidRPr="00C74417"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При</w:t>
      </w:r>
      <w:r>
        <w:rPr>
          <w:rFonts w:ascii="Times New Roman" w:hAnsi="Times New Roman" w:cs="Times New Roman"/>
          <w:iCs/>
          <w:sz w:val="28"/>
          <w:szCs w:val="28"/>
        </w:rPr>
        <w:t xml:space="preserve"> </w:t>
      </w:r>
      <w:r w:rsidRPr="00C74417">
        <w:rPr>
          <w:rFonts w:ascii="Times New Roman" w:hAnsi="Times New Roman" w:cs="Times New Roman"/>
          <w:iCs/>
          <w:sz w:val="28"/>
          <w:szCs w:val="28"/>
        </w:rPr>
        <w:t>этом государство могло бы на начальном этапе взять на себя большую нагрузку по обеспечению роста доступности и качества бесплатных для населения услуг здравоохранения, образования (включая дошкольное), развития массового спорта, увеличению финансирования науки.</w:t>
      </w:r>
    </w:p>
    <w:p w14:paraId="7E32D6BE" w14:textId="77777777" w:rsidR="00964906" w:rsidRPr="00C74417"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Акцент </w:t>
      </w:r>
      <w:r w:rsidRPr="00C74417">
        <w:rPr>
          <w:rFonts w:ascii="Times New Roman" w:hAnsi="Times New Roman" w:cs="Times New Roman"/>
          <w:iCs/>
          <w:sz w:val="28"/>
          <w:szCs w:val="28"/>
        </w:rPr>
        <w:t xml:space="preserve">на </w:t>
      </w:r>
      <w:r>
        <w:rPr>
          <w:rFonts w:ascii="Times New Roman" w:hAnsi="Times New Roman" w:cs="Times New Roman"/>
          <w:iCs/>
          <w:sz w:val="28"/>
          <w:szCs w:val="28"/>
        </w:rPr>
        <w:t xml:space="preserve">использование </w:t>
      </w:r>
      <w:r w:rsidRPr="00C74417">
        <w:rPr>
          <w:rFonts w:ascii="Times New Roman" w:hAnsi="Times New Roman" w:cs="Times New Roman"/>
          <w:iCs/>
          <w:sz w:val="28"/>
          <w:szCs w:val="28"/>
        </w:rPr>
        <w:t xml:space="preserve">политики налогообложения </w:t>
      </w:r>
      <w:r>
        <w:rPr>
          <w:rFonts w:ascii="Times New Roman" w:hAnsi="Times New Roman" w:cs="Times New Roman"/>
          <w:iCs/>
          <w:sz w:val="28"/>
          <w:szCs w:val="28"/>
        </w:rPr>
        <w:t>для перераспределения доходов</w:t>
      </w:r>
      <w:r w:rsidRPr="00C74417">
        <w:rPr>
          <w:rFonts w:ascii="Times New Roman" w:hAnsi="Times New Roman" w:cs="Times New Roman"/>
          <w:iCs/>
          <w:sz w:val="28"/>
          <w:szCs w:val="28"/>
        </w:rPr>
        <w:t xml:space="preserve"> </w:t>
      </w:r>
      <w:r>
        <w:rPr>
          <w:rFonts w:ascii="Times New Roman" w:hAnsi="Times New Roman" w:cs="Times New Roman"/>
          <w:iCs/>
          <w:sz w:val="28"/>
          <w:szCs w:val="28"/>
        </w:rPr>
        <w:t>должен быть</w:t>
      </w:r>
      <w:r w:rsidRPr="00C74417">
        <w:rPr>
          <w:rFonts w:ascii="Times New Roman" w:hAnsi="Times New Roman" w:cs="Times New Roman"/>
          <w:iCs/>
          <w:sz w:val="28"/>
          <w:szCs w:val="28"/>
        </w:rPr>
        <w:t xml:space="preserve"> четко обозначен. Должны быть </w:t>
      </w:r>
      <w:r>
        <w:rPr>
          <w:rFonts w:ascii="Times New Roman" w:hAnsi="Times New Roman" w:cs="Times New Roman"/>
          <w:iCs/>
          <w:sz w:val="28"/>
          <w:szCs w:val="28"/>
        </w:rPr>
        <w:t>определен</w:t>
      </w:r>
      <w:r w:rsidRPr="00C74417">
        <w:rPr>
          <w:rFonts w:ascii="Times New Roman" w:hAnsi="Times New Roman" w:cs="Times New Roman"/>
          <w:iCs/>
          <w:sz w:val="28"/>
          <w:szCs w:val="28"/>
        </w:rPr>
        <w:t>ы периоды повышения ставок НДФЛ и пороговые уровни доходов.</w:t>
      </w:r>
      <w:r>
        <w:rPr>
          <w:rFonts w:ascii="Times New Roman" w:hAnsi="Times New Roman" w:cs="Times New Roman"/>
          <w:iCs/>
          <w:sz w:val="28"/>
          <w:szCs w:val="28"/>
        </w:rPr>
        <w:t xml:space="preserve"> В свою очередь повышение налогов для наиболее богатых граждан должно частично компенсироваться расширенной системой налоговых вычетов, стимулирующих расходы на недвижимость, товары длительного пользования, высокотехнологичные виды услуг и </w:t>
      </w:r>
      <w:proofErr w:type="gramStart"/>
      <w:r>
        <w:rPr>
          <w:rFonts w:ascii="Times New Roman" w:hAnsi="Times New Roman" w:cs="Times New Roman"/>
          <w:iCs/>
          <w:sz w:val="28"/>
          <w:szCs w:val="28"/>
        </w:rPr>
        <w:t>т.д.</w:t>
      </w:r>
      <w:proofErr w:type="gramEnd"/>
    </w:p>
    <w:p w14:paraId="7F653F51" w14:textId="4ECF0E56" w:rsidR="00964906" w:rsidRPr="00C74417"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Усиление</w:t>
      </w:r>
      <w:r w:rsidRPr="00C74417">
        <w:rPr>
          <w:rFonts w:ascii="Times New Roman" w:hAnsi="Times New Roman" w:cs="Times New Roman"/>
          <w:iCs/>
          <w:sz w:val="28"/>
          <w:szCs w:val="28"/>
        </w:rPr>
        <w:t xml:space="preserve"> инвестиционной активности могл</w:t>
      </w:r>
      <w:r w:rsidR="004F4807">
        <w:rPr>
          <w:rFonts w:ascii="Times New Roman" w:hAnsi="Times New Roman" w:cs="Times New Roman"/>
          <w:iCs/>
          <w:sz w:val="28"/>
          <w:szCs w:val="28"/>
        </w:rPr>
        <w:t>о</w:t>
      </w:r>
      <w:r w:rsidRPr="00C74417">
        <w:rPr>
          <w:rFonts w:ascii="Times New Roman" w:hAnsi="Times New Roman" w:cs="Times New Roman"/>
          <w:iCs/>
          <w:sz w:val="28"/>
          <w:szCs w:val="28"/>
        </w:rPr>
        <w:t xml:space="preserve"> бы </w:t>
      </w:r>
      <w:r>
        <w:rPr>
          <w:rFonts w:ascii="Times New Roman" w:hAnsi="Times New Roman" w:cs="Times New Roman"/>
          <w:iCs/>
          <w:sz w:val="28"/>
          <w:szCs w:val="28"/>
        </w:rPr>
        <w:t xml:space="preserve">опираться на </w:t>
      </w:r>
      <w:r w:rsidRPr="00C74417">
        <w:rPr>
          <w:rFonts w:ascii="Times New Roman" w:hAnsi="Times New Roman" w:cs="Times New Roman"/>
          <w:iCs/>
          <w:sz w:val="28"/>
          <w:szCs w:val="28"/>
        </w:rPr>
        <w:t xml:space="preserve">поддержку </w:t>
      </w:r>
      <w:r>
        <w:rPr>
          <w:rFonts w:ascii="Times New Roman" w:hAnsi="Times New Roman" w:cs="Times New Roman"/>
          <w:iCs/>
          <w:sz w:val="28"/>
          <w:szCs w:val="28"/>
        </w:rPr>
        <w:t>публичных компаний с государственным участием</w:t>
      </w:r>
      <w:r w:rsidRPr="00C74417">
        <w:rPr>
          <w:rFonts w:ascii="Times New Roman" w:hAnsi="Times New Roman" w:cs="Times New Roman"/>
          <w:iCs/>
          <w:sz w:val="28"/>
          <w:szCs w:val="28"/>
        </w:rPr>
        <w:t xml:space="preserve">. </w:t>
      </w:r>
      <w:r>
        <w:rPr>
          <w:rFonts w:ascii="Times New Roman" w:hAnsi="Times New Roman" w:cs="Times New Roman"/>
          <w:iCs/>
          <w:sz w:val="28"/>
          <w:szCs w:val="28"/>
        </w:rPr>
        <w:t>По нашим оценкам о</w:t>
      </w:r>
      <w:r w:rsidRPr="00C74417">
        <w:rPr>
          <w:rFonts w:ascii="Times New Roman" w:hAnsi="Times New Roman" w:cs="Times New Roman"/>
          <w:iCs/>
          <w:sz w:val="28"/>
          <w:szCs w:val="28"/>
        </w:rPr>
        <w:t xml:space="preserve">бъем инвестиций, на которые государство может оказывать </w:t>
      </w:r>
      <w:r>
        <w:rPr>
          <w:rFonts w:ascii="Times New Roman" w:hAnsi="Times New Roman" w:cs="Times New Roman"/>
          <w:iCs/>
          <w:sz w:val="28"/>
          <w:szCs w:val="28"/>
        </w:rPr>
        <w:t xml:space="preserve">непосредственное </w:t>
      </w:r>
      <w:r w:rsidRPr="00C74417">
        <w:rPr>
          <w:rFonts w:ascii="Times New Roman" w:hAnsi="Times New Roman" w:cs="Times New Roman"/>
          <w:iCs/>
          <w:sz w:val="28"/>
          <w:szCs w:val="28"/>
        </w:rPr>
        <w:t>влияни</w:t>
      </w:r>
      <w:r>
        <w:rPr>
          <w:rFonts w:ascii="Times New Roman" w:hAnsi="Times New Roman" w:cs="Times New Roman"/>
          <w:iCs/>
          <w:sz w:val="28"/>
          <w:szCs w:val="28"/>
        </w:rPr>
        <w:t xml:space="preserve">е </w:t>
      </w:r>
      <w:r w:rsidRPr="00C74417">
        <w:rPr>
          <w:rFonts w:ascii="Times New Roman" w:hAnsi="Times New Roman" w:cs="Times New Roman"/>
          <w:iCs/>
          <w:sz w:val="28"/>
          <w:szCs w:val="28"/>
        </w:rPr>
        <w:t>составляет не менее 40% от совокупных инвестиций.</w:t>
      </w:r>
    </w:p>
    <w:p w14:paraId="6A3AEFD9" w14:textId="77777777" w:rsidR="00964906"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Во взаимоотношениях с бизнесом государство могло бы обозначить перспективы роста рынков сбыта за счет освоения внутреннего рынка в обмен на инвестиции в</w:t>
      </w:r>
      <w:r>
        <w:rPr>
          <w:rFonts w:ascii="Times New Roman" w:hAnsi="Times New Roman" w:cs="Times New Roman"/>
          <w:iCs/>
          <w:sz w:val="28"/>
          <w:szCs w:val="28"/>
        </w:rPr>
        <w:t xml:space="preserve"> </w:t>
      </w:r>
      <w:r w:rsidRPr="00C74417">
        <w:rPr>
          <w:rFonts w:ascii="Times New Roman" w:hAnsi="Times New Roman" w:cs="Times New Roman"/>
          <w:iCs/>
          <w:sz w:val="28"/>
          <w:szCs w:val="28"/>
        </w:rPr>
        <w:t>проекты</w:t>
      </w:r>
      <w:r>
        <w:rPr>
          <w:rFonts w:ascii="Times New Roman" w:hAnsi="Times New Roman" w:cs="Times New Roman"/>
          <w:iCs/>
          <w:sz w:val="28"/>
          <w:szCs w:val="28"/>
        </w:rPr>
        <w:t>,</w:t>
      </w:r>
      <w:r w:rsidRPr="00C74417">
        <w:rPr>
          <w:rFonts w:ascii="Times New Roman" w:hAnsi="Times New Roman" w:cs="Times New Roman"/>
          <w:iCs/>
          <w:sz w:val="28"/>
          <w:szCs w:val="28"/>
        </w:rPr>
        <w:t xml:space="preserve"> связанные </w:t>
      </w:r>
      <w:r>
        <w:rPr>
          <w:rFonts w:ascii="Times New Roman" w:hAnsi="Times New Roman" w:cs="Times New Roman"/>
          <w:iCs/>
          <w:sz w:val="28"/>
          <w:szCs w:val="28"/>
        </w:rPr>
        <w:t xml:space="preserve">в том числе с </w:t>
      </w:r>
      <w:r w:rsidRPr="00C74417">
        <w:rPr>
          <w:rFonts w:ascii="Times New Roman" w:hAnsi="Times New Roman" w:cs="Times New Roman"/>
          <w:iCs/>
          <w:sz w:val="28"/>
          <w:szCs w:val="28"/>
        </w:rPr>
        <w:t>импортозамещ</w:t>
      </w:r>
      <w:r>
        <w:rPr>
          <w:rFonts w:ascii="Times New Roman" w:hAnsi="Times New Roman" w:cs="Times New Roman"/>
          <w:iCs/>
          <w:sz w:val="28"/>
          <w:szCs w:val="28"/>
        </w:rPr>
        <w:t>ением</w:t>
      </w:r>
      <w:r w:rsidRPr="00C74417">
        <w:rPr>
          <w:rFonts w:ascii="Times New Roman" w:hAnsi="Times New Roman" w:cs="Times New Roman"/>
          <w:iCs/>
          <w:sz w:val="28"/>
          <w:szCs w:val="28"/>
        </w:rPr>
        <w:t>.</w:t>
      </w:r>
      <w:r>
        <w:rPr>
          <w:rFonts w:ascii="Times New Roman" w:hAnsi="Times New Roman" w:cs="Times New Roman"/>
          <w:iCs/>
          <w:sz w:val="28"/>
          <w:szCs w:val="28"/>
        </w:rPr>
        <w:t xml:space="preserve"> Нужно сформировать разумный баланс в деятельности финансовых организаций между развитием цифровых потребительских сервисов</w:t>
      </w:r>
      <w:r w:rsidRPr="00C74417">
        <w:rPr>
          <w:rFonts w:ascii="Times New Roman" w:hAnsi="Times New Roman" w:cs="Times New Roman"/>
          <w:iCs/>
          <w:sz w:val="28"/>
          <w:szCs w:val="28"/>
        </w:rPr>
        <w:t xml:space="preserve"> </w:t>
      </w:r>
      <w:r>
        <w:rPr>
          <w:rFonts w:ascii="Times New Roman" w:hAnsi="Times New Roman" w:cs="Times New Roman"/>
          <w:iCs/>
          <w:sz w:val="28"/>
          <w:szCs w:val="28"/>
        </w:rPr>
        <w:t>и деятельностью, связанной с инвестициями в реальный сектор и</w:t>
      </w:r>
      <w:r w:rsidRPr="00C74417">
        <w:rPr>
          <w:rFonts w:ascii="Times New Roman" w:hAnsi="Times New Roman" w:cs="Times New Roman"/>
          <w:iCs/>
          <w:sz w:val="28"/>
          <w:szCs w:val="28"/>
        </w:rPr>
        <w:t xml:space="preserve"> создание</w:t>
      </w:r>
      <w:r>
        <w:rPr>
          <w:rFonts w:ascii="Times New Roman" w:hAnsi="Times New Roman" w:cs="Times New Roman"/>
          <w:iCs/>
          <w:sz w:val="28"/>
          <w:szCs w:val="28"/>
        </w:rPr>
        <w:t>м</w:t>
      </w:r>
      <w:r w:rsidRPr="00C74417">
        <w:rPr>
          <w:rFonts w:ascii="Times New Roman" w:hAnsi="Times New Roman" w:cs="Times New Roman"/>
          <w:iCs/>
          <w:sz w:val="28"/>
          <w:szCs w:val="28"/>
        </w:rPr>
        <w:t xml:space="preserve"> новых рабочих мест</w:t>
      </w:r>
      <w:r>
        <w:rPr>
          <w:rFonts w:ascii="Times New Roman" w:hAnsi="Times New Roman" w:cs="Times New Roman"/>
          <w:iCs/>
          <w:sz w:val="28"/>
          <w:szCs w:val="28"/>
        </w:rPr>
        <w:t xml:space="preserve"> и новых доходов населения. </w:t>
      </w:r>
    </w:p>
    <w:p w14:paraId="7210478C" w14:textId="00C73A8D"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Изменение относительных</w:t>
      </w:r>
      <w:r w:rsidR="00CA27E5">
        <w:rPr>
          <w:rFonts w:ascii="Times New Roman" w:hAnsi="Times New Roman" w:cs="Times New Roman"/>
          <w:iCs/>
          <w:sz w:val="28"/>
          <w:szCs w:val="28"/>
        </w:rPr>
        <w:t xml:space="preserve"> цен на потребительские товары</w:t>
      </w:r>
      <w:r>
        <w:rPr>
          <w:rFonts w:ascii="Times New Roman" w:hAnsi="Times New Roman" w:cs="Times New Roman"/>
          <w:iCs/>
          <w:sz w:val="28"/>
          <w:szCs w:val="28"/>
        </w:rPr>
        <w:t>, особенно на продовольствие</w:t>
      </w:r>
      <w:r w:rsidR="00CA27E5">
        <w:rPr>
          <w:rFonts w:ascii="Times New Roman" w:hAnsi="Times New Roman" w:cs="Times New Roman"/>
          <w:iCs/>
          <w:sz w:val="28"/>
          <w:szCs w:val="28"/>
        </w:rPr>
        <w:t>,</w:t>
      </w:r>
      <w:r>
        <w:rPr>
          <w:rFonts w:ascii="Times New Roman" w:hAnsi="Times New Roman" w:cs="Times New Roman"/>
          <w:iCs/>
          <w:sz w:val="28"/>
          <w:szCs w:val="28"/>
        </w:rPr>
        <w:t xml:space="preserve"> в последние годы было тем фактором, который способствовал консервации достаточно примитивной структуры потребления населения. В целом это сдерживало повышение качества жизни населения, снижало эффективность социальных расходов государства, ограничивало спрос на продукцию российских компаний. В интересах общества сформировать </w:t>
      </w:r>
      <w:r w:rsidRPr="00431E22">
        <w:rPr>
          <w:rFonts w:ascii="Times New Roman" w:hAnsi="Times New Roman" w:cs="Times New Roman"/>
          <w:b/>
          <w:bCs/>
          <w:iCs/>
          <w:sz w:val="28"/>
          <w:szCs w:val="28"/>
        </w:rPr>
        <w:t>новую концепцию ценообразования</w:t>
      </w:r>
      <w:r>
        <w:rPr>
          <w:rFonts w:ascii="Times New Roman" w:hAnsi="Times New Roman" w:cs="Times New Roman"/>
          <w:iCs/>
          <w:sz w:val="28"/>
          <w:szCs w:val="28"/>
        </w:rPr>
        <w:t xml:space="preserve"> на тех рынках, где цены существенно зависят от мировой конъюнктуры. Прежде всего речь идет о рынках продовольствия, нефтепродуктов, химической продукции, металлов.  По-видимому, такая деятельность потребует скоординированных действий в части налоговой политики, модернизации бюджетного правила, антимонопольных мер и действий по развитию конкуренции, а также усилий со стороны государства по донесению общественных целей развития до представителей бизнеса. </w:t>
      </w:r>
    </w:p>
    <w:p w14:paraId="7595BF64" w14:textId="77777777"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Ресурсные богатства России должны стать важнейшим конкурентным преимуществом, позволяющим объединить территории, выстроить цепочки кооперационных связей, сформировать дополнительные доходы для бизнеса и общества, а не оставаться фактором накопления дисбалансов.</w:t>
      </w:r>
    </w:p>
    <w:p w14:paraId="0CDC5126" w14:textId="74AED637" w:rsidR="00964906" w:rsidRDefault="00964906" w:rsidP="00964906">
      <w:pPr>
        <w:spacing w:line="360" w:lineRule="auto"/>
        <w:ind w:firstLine="567"/>
        <w:jc w:val="both"/>
        <w:rPr>
          <w:rFonts w:ascii="Times New Roman" w:hAnsi="Times New Roman" w:cs="Times New Roman"/>
          <w:iCs/>
          <w:sz w:val="28"/>
          <w:szCs w:val="28"/>
        </w:rPr>
      </w:pPr>
      <w:r w:rsidRPr="00C74417">
        <w:rPr>
          <w:rFonts w:ascii="Times New Roman" w:hAnsi="Times New Roman" w:cs="Times New Roman"/>
          <w:iCs/>
          <w:sz w:val="28"/>
          <w:szCs w:val="28"/>
        </w:rPr>
        <w:t>Участники общественного договора кроме всего прочего должны быть объединены общ</w:t>
      </w:r>
      <w:r>
        <w:rPr>
          <w:rFonts w:ascii="Times New Roman" w:hAnsi="Times New Roman" w:cs="Times New Roman"/>
          <w:iCs/>
          <w:sz w:val="28"/>
          <w:szCs w:val="28"/>
        </w:rPr>
        <w:t>им</w:t>
      </w:r>
      <w:r w:rsidRPr="00C74417">
        <w:rPr>
          <w:rFonts w:ascii="Times New Roman" w:hAnsi="Times New Roman" w:cs="Times New Roman"/>
          <w:iCs/>
          <w:sz w:val="28"/>
          <w:szCs w:val="28"/>
        </w:rPr>
        <w:t xml:space="preserve"> </w:t>
      </w:r>
      <w:r>
        <w:rPr>
          <w:rFonts w:ascii="Times New Roman" w:hAnsi="Times New Roman" w:cs="Times New Roman"/>
          <w:iCs/>
          <w:sz w:val="28"/>
          <w:szCs w:val="28"/>
        </w:rPr>
        <w:t>пониманием того</w:t>
      </w:r>
      <w:r w:rsidRPr="00431E22">
        <w:rPr>
          <w:rFonts w:ascii="Times New Roman" w:hAnsi="Times New Roman" w:cs="Times New Roman"/>
          <w:iCs/>
          <w:sz w:val="28"/>
          <w:szCs w:val="28"/>
        </w:rPr>
        <w:t>,</w:t>
      </w:r>
      <w:r w:rsidRPr="00C74417">
        <w:rPr>
          <w:rFonts w:ascii="Times New Roman" w:hAnsi="Times New Roman" w:cs="Times New Roman"/>
          <w:iCs/>
          <w:sz w:val="28"/>
          <w:szCs w:val="28"/>
        </w:rPr>
        <w:t xml:space="preserve"> ради чего существует российское общество, к каким целевым ориентирам стремится, почему выбранные цели и способы их достижения «лучше» (спр</w:t>
      </w:r>
      <w:r>
        <w:rPr>
          <w:rFonts w:ascii="Times New Roman" w:hAnsi="Times New Roman" w:cs="Times New Roman"/>
          <w:iCs/>
          <w:sz w:val="28"/>
          <w:szCs w:val="28"/>
        </w:rPr>
        <w:t>аведливее, правильнее) альтерна</w:t>
      </w:r>
      <w:r w:rsidRPr="00C74417">
        <w:rPr>
          <w:rFonts w:ascii="Times New Roman" w:hAnsi="Times New Roman" w:cs="Times New Roman"/>
          <w:iCs/>
          <w:sz w:val="28"/>
          <w:szCs w:val="28"/>
        </w:rPr>
        <w:t>тивных вариантов</w:t>
      </w:r>
      <w:r>
        <w:rPr>
          <w:rFonts w:ascii="Times New Roman" w:hAnsi="Times New Roman" w:cs="Times New Roman"/>
          <w:iCs/>
          <w:sz w:val="28"/>
          <w:szCs w:val="28"/>
        </w:rPr>
        <w:t>, зачастую насаждаемых извне.</w:t>
      </w:r>
      <w:r w:rsidRPr="00431E22">
        <w:rPr>
          <w:rFonts w:ascii="Times New Roman" w:hAnsi="Times New Roman" w:cs="Times New Roman"/>
          <w:iCs/>
          <w:sz w:val="28"/>
          <w:szCs w:val="28"/>
        </w:rPr>
        <w:t xml:space="preserve"> </w:t>
      </w:r>
    </w:p>
    <w:p w14:paraId="7B21CEFB" w14:textId="4C974A23" w:rsidR="00964906" w:rsidRDefault="00964906" w:rsidP="00964906">
      <w:pPr>
        <w:spacing w:line="360" w:lineRule="auto"/>
        <w:ind w:firstLine="567"/>
        <w:jc w:val="both"/>
        <w:rPr>
          <w:sz w:val="28"/>
        </w:rPr>
      </w:pPr>
      <w:r>
        <w:rPr>
          <w:rFonts w:ascii="Times New Roman" w:hAnsi="Times New Roman" w:cs="Times New Roman"/>
          <w:iCs/>
          <w:sz w:val="28"/>
          <w:szCs w:val="28"/>
        </w:rPr>
        <w:t>Задача государства состоит в формировании новых смысловых и ценностных установок</w:t>
      </w:r>
      <w:r w:rsidR="004F4807">
        <w:rPr>
          <w:rFonts w:ascii="Times New Roman" w:hAnsi="Times New Roman" w:cs="Times New Roman"/>
          <w:iCs/>
          <w:sz w:val="28"/>
          <w:szCs w:val="28"/>
        </w:rPr>
        <w:t>,</w:t>
      </w:r>
      <w:r>
        <w:rPr>
          <w:rFonts w:ascii="Times New Roman" w:hAnsi="Times New Roman" w:cs="Times New Roman"/>
          <w:iCs/>
          <w:sz w:val="28"/>
          <w:szCs w:val="28"/>
        </w:rPr>
        <w:t xml:space="preserve"> способных обеспечить духовный подъем общества, вовлечь широкие слои население в «Общее Дело» строительства российского общества.</w:t>
      </w:r>
    </w:p>
    <w:p w14:paraId="5B0E6B84" w14:textId="77777777"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свою очередь</w:t>
      </w:r>
      <w:r w:rsidRPr="00431E22">
        <w:rPr>
          <w:rFonts w:ascii="Times New Roman" w:hAnsi="Times New Roman" w:cs="Times New Roman"/>
          <w:iCs/>
          <w:sz w:val="28"/>
          <w:szCs w:val="28"/>
        </w:rPr>
        <w:t xml:space="preserve"> признание</w:t>
      </w:r>
      <w:r>
        <w:rPr>
          <w:rFonts w:ascii="Times New Roman" w:hAnsi="Times New Roman" w:cs="Times New Roman"/>
          <w:iCs/>
          <w:sz w:val="28"/>
          <w:szCs w:val="28"/>
        </w:rPr>
        <w:t xml:space="preserve"> устойчивости и дееспособности</w:t>
      </w:r>
      <w:r w:rsidRPr="00431E22">
        <w:rPr>
          <w:rFonts w:ascii="Times New Roman" w:hAnsi="Times New Roman" w:cs="Times New Roman"/>
          <w:iCs/>
          <w:sz w:val="28"/>
          <w:szCs w:val="28"/>
        </w:rPr>
        <w:t xml:space="preserve"> государства важнейшей ценностью</w:t>
      </w:r>
      <w:r>
        <w:rPr>
          <w:rFonts w:ascii="Times New Roman" w:hAnsi="Times New Roman" w:cs="Times New Roman"/>
          <w:iCs/>
          <w:sz w:val="28"/>
          <w:szCs w:val="28"/>
        </w:rPr>
        <w:t xml:space="preserve"> является необходимой предпосылкой обеспечения национального суверенитета.</w:t>
      </w:r>
    </w:p>
    <w:p w14:paraId="533F9C5D" w14:textId="77777777"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Ситуация, складывающаяся в российской экономике, делает ориентиры по уровню и качеству жизни населения ключевыми целевыми установками не только для граждан страны, но и для бизнеса. В условиях стагнации внешнего спроса именно внутренний спрос, с высокой вероятностью, будет определять параметры российской экономики в ближайшие 10 лет.</w:t>
      </w:r>
    </w:p>
    <w:p w14:paraId="4A5E8DD3" w14:textId="77777777" w:rsidR="00964906" w:rsidRDefault="00964906" w:rsidP="00964906">
      <w:pPr>
        <w:spacing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Достижимыми, с точки зрения имеющихся факторов роста, являются следующие показатели, характеризующие уровень и качество жизни населения:</w:t>
      </w:r>
    </w:p>
    <w:p w14:paraId="1DD6B459" w14:textId="725CE94C" w:rsidR="00964906" w:rsidRDefault="00C132A4" w:rsidP="00964906">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с</w:t>
      </w:r>
      <w:r w:rsidR="00964906">
        <w:rPr>
          <w:rFonts w:ascii="Times New Roman" w:hAnsi="Times New Roman" w:cs="Times New Roman"/>
          <w:iCs/>
          <w:sz w:val="28"/>
          <w:szCs w:val="28"/>
        </w:rPr>
        <w:t>нижение к 2030 г. смертности до показателей характерных для стран Восточной Европы</w:t>
      </w:r>
      <w:r>
        <w:rPr>
          <w:rFonts w:ascii="Times New Roman" w:hAnsi="Times New Roman" w:cs="Times New Roman"/>
          <w:iCs/>
          <w:sz w:val="28"/>
          <w:szCs w:val="28"/>
        </w:rPr>
        <w:t>;</w:t>
      </w:r>
    </w:p>
    <w:p w14:paraId="78E63281" w14:textId="4BC8E446" w:rsidR="00840AFA" w:rsidRPr="009F6DA3" w:rsidRDefault="00C132A4" w:rsidP="00840AFA">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р</w:t>
      </w:r>
      <w:r w:rsidR="00840AFA">
        <w:rPr>
          <w:rFonts w:ascii="Times New Roman" w:hAnsi="Times New Roman" w:cs="Times New Roman"/>
          <w:iCs/>
          <w:sz w:val="28"/>
          <w:szCs w:val="28"/>
        </w:rPr>
        <w:t>ост ожидаемой продолжительности жизни к 2030 г. до 78 лет</w:t>
      </w:r>
      <w:r w:rsidR="00EE276F">
        <w:rPr>
          <w:rFonts w:ascii="Times New Roman" w:hAnsi="Times New Roman" w:cs="Times New Roman"/>
          <w:iCs/>
          <w:sz w:val="28"/>
          <w:szCs w:val="28"/>
        </w:rPr>
        <w:t xml:space="preserve"> (+5 лет)</w:t>
      </w:r>
      <w:r>
        <w:rPr>
          <w:rFonts w:ascii="Times New Roman" w:hAnsi="Times New Roman" w:cs="Times New Roman"/>
          <w:iCs/>
          <w:sz w:val="28"/>
          <w:szCs w:val="28"/>
        </w:rPr>
        <w:t>;</w:t>
      </w:r>
    </w:p>
    <w:p w14:paraId="79FF7336" w14:textId="74EA3741" w:rsidR="00964906" w:rsidRDefault="00C132A4" w:rsidP="00964906">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д</w:t>
      </w:r>
      <w:r w:rsidR="00964906">
        <w:rPr>
          <w:rFonts w:ascii="Times New Roman" w:hAnsi="Times New Roman" w:cs="Times New Roman"/>
          <w:iCs/>
          <w:sz w:val="28"/>
          <w:szCs w:val="28"/>
        </w:rPr>
        <w:t xml:space="preserve">остижение коэффициента замещения пенсиями заработной платы на уровне не ниже </w:t>
      </w:r>
      <w:proofErr w:type="gramStart"/>
      <w:r w:rsidR="00964906">
        <w:rPr>
          <w:rFonts w:ascii="Times New Roman" w:hAnsi="Times New Roman" w:cs="Times New Roman"/>
          <w:iCs/>
          <w:sz w:val="28"/>
          <w:szCs w:val="28"/>
        </w:rPr>
        <w:t>35-38</w:t>
      </w:r>
      <w:proofErr w:type="gramEnd"/>
      <w:r w:rsidR="00964906">
        <w:rPr>
          <w:rFonts w:ascii="Times New Roman" w:hAnsi="Times New Roman" w:cs="Times New Roman"/>
          <w:iCs/>
          <w:sz w:val="28"/>
          <w:szCs w:val="28"/>
        </w:rPr>
        <w:t>%</w:t>
      </w:r>
      <w:r>
        <w:rPr>
          <w:rFonts w:ascii="Times New Roman" w:hAnsi="Times New Roman" w:cs="Times New Roman"/>
          <w:iCs/>
          <w:sz w:val="28"/>
          <w:szCs w:val="28"/>
        </w:rPr>
        <w:t>;</w:t>
      </w:r>
    </w:p>
    <w:p w14:paraId="2873C307" w14:textId="5856B30C" w:rsidR="00964906" w:rsidRDefault="00C132A4" w:rsidP="00964906">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р</w:t>
      </w:r>
      <w:r w:rsidR="00964906">
        <w:rPr>
          <w:rFonts w:ascii="Times New Roman" w:hAnsi="Times New Roman" w:cs="Times New Roman"/>
          <w:iCs/>
          <w:sz w:val="28"/>
          <w:szCs w:val="28"/>
        </w:rPr>
        <w:t xml:space="preserve">ост реальных располагаемых доходов за период </w:t>
      </w:r>
      <w:proofErr w:type="gramStart"/>
      <w:r w:rsidR="00964906">
        <w:rPr>
          <w:rFonts w:ascii="Times New Roman" w:hAnsi="Times New Roman" w:cs="Times New Roman"/>
          <w:iCs/>
          <w:sz w:val="28"/>
          <w:szCs w:val="28"/>
        </w:rPr>
        <w:t>2021-2030</w:t>
      </w:r>
      <w:proofErr w:type="gramEnd"/>
      <w:r w:rsidR="00964906">
        <w:rPr>
          <w:rFonts w:ascii="Times New Roman" w:hAnsi="Times New Roman" w:cs="Times New Roman"/>
          <w:iCs/>
          <w:sz w:val="28"/>
          <w:szCs w:val="28"/>
        </w:rPr>
        <w:t xml:space="preserve"> гг. в 1,5 раза</w:t>
      </w:r>
      <w:r>
        <w:rPr>
          <w:rFonts w:ascii="Times New Roman" w:hAnsi="Times New Roman" w:cs="Times New Roman"/>
          <w:iCs/>
          <w:sz w:val="28"/>
          <w:szCs w:val="28"/>
        </w:rPr>
        <w:t>;</w:t>
      </w:r>
    </w:p>
    <w:p w14:paraId="7C0DA22E" w14:textId="111FA5B5" w:rsidR="00964906" w:rsidRPr="009F6DA3" w:rsidRDefault="00C132A4" w:rsidP="00964906">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п</w:t>
      </w:r>
      <w:r w:rsidR="00964906">
        <w:rPr>
          <w:rFonts w:ascii="Times New Roman" w:hAnsi="Times New Roman" w:cs="Times New Roman"/>
          <w:iCs/>
          <w:sz w:val="28"/>
          <w:szCs w:val="28"/>
        </w:rPr>
        <w:t>риближение в период до 2030 г.</w:t>
      </w:r>
      <w:r w:rsidR="00964906" w:rsidRPr="009F6DA3">
        <w:rPr>
          <w:rFonts w:ascii="Times New Roman" w:hAnsi="Times New Roman" w:cs="Times New Roman"/>
          <w:iCs/>
          <w:sz w:val="28"/>
          <w:szCs w:val="28"/>
        </w:rPr>
        <w:t xml:space="preserve"> структуры расходов населения к стандартам развитых стран</w:t>
      </w:r>
      <w:r>
        <w:rPr>
          <w:rFonts w:ascii="Times New Roman" w:hAnsi="Times New Roman" w:cs="Times New Roman"/>
          <w:iCs/>
          <w:sz w:val="28"/>
          <w:szCs w:val="28"/>
        </w:rPr>
        <w:t>;</w:t>
      </w:r>
      <w:r w:rsidR="00964906" w:rsidRPr="009F6DA3">
        <w:rPr>
          <w:rFonts w:ascii="Times New Roman" w:hAnsi="Times New Roman" w:cs="Times New Roman"/>
          <w:iCs/>
          <w:sz w:val="28"/>
          <w:szCs w:val="28"/>
        </w:rPr>
        <w:t xml:space="preserve"> </w:t>
      </w:r>
    </w:p>
    <w:p w14:paraId="39B57296" w14:textId="4F1DD3DA" w:rsidR="00964906" w:rsidRPr="00B40104" w:rsidRDefault="00C132A4" w:rsidP="00964906">
      <w:pPr>
        <w:pStyle w:val="a5"/>
        <w:numPr>
          <w:ilvl w:val="0"/>
          <w:numId w:val="16"/>
        </w:numPr>
        <w:spacing w:line="360" w:lineRule="auto"/>
        <w:jc w:val="both"/>
        <w:rPr>
          <w:rFonts w:ascii="Times New Roman" w:hAnsi="Times New Roman" w:cs="Times New Roman"/>
          <w:iCs/>
          <w:sz w:val="28"/>
          <w:szCs w:val="28"/>
        </w:rPr>
      </w:pPr>
      <w:r>
        <w:rPr>
          <w:rFonts w:ascii="Times New Roman" w:hAnsi="Times New Roman" w:cs="Times New Roman"/>
          <w:iCs/>
          <w:sz w:val="28"/>
          <w:szCs w:val="28"/>
        </w:rPr>
        <w:t>п</w:t>
      </w:r>
      <w:r w:rsidR="00964906">
        <w:rPr>
          <w:rFonts w:ascii="Times New Roman" w:hAnsi="Times New Roman" w:cs="Times New Roman"/>
          <w:iCs/>
          <w:sz w:val="28"/>
          <w:szCs w:val="28"/>
        </w:rPr>
        <w:t>лощадь комфортного</w:t>
      </w:r>
      <w:r w:rsidR="00840AFA">
        <w:rPr>
          <w:rStyle w:val="ad"/>
          <w:rFonts w:ascii="Times New Roman" w:hAnsi="Times New Roman" w:cs="Times New Roman"/>
          <w:iCs/>
          <w:sz w:val="28"/>
          <w:szCs w:val="28"/>
        </w:rPr>
        <w:footnoteReference w:id="6"/>
      </w:r>
      <w:r w:rsidR="00964906">
        <w:rPr>
          <w:rFonts w:ascii="Times New Roman" w:hAnsi="Times New Roman" w:cs="Times New Roman"/>
          <w:iCs/>
          <w:sz w:val="28"/>
          <w:szCs w:val="28"/>
        </w:rPr>
        <w:t xml:space="preserve"> жилья на человека с 16 </w:t>
      </w:r>
      <w:proofErr w:type="spellStart"/>
      <w:r w:rsidR="00964906">
        <w:rPr>
          <w:rFonts w:ascii="Times New Roman" w:hAnsi="Times New Roman" w:cs="Times New Roman"/>
          <w:iCs/>
          <w:sz w:val="28"/>
          <w:szCs w:val="28"/>
        </w:rPr>
        <w:t>м.кв</w:t>
      </w:r>
      <w:proofErr w:type="spellEnd"/>
      <w:r w:rsidR="00964906">
        <w:rPr>
          <w:rFonts w:ascii="Times New Roman" w:hAnsi="Times New Roman" w:cs="Times New Roman"/>
          <w:iCs/>
          <w:sz w:val="28"/>
          <w:szCs w:val="28"/>
        </w:rPr>
        <w:t xml:space="preserve">. в 2020 г. до 20 </w:t>
      </w:r>
      <w:proofErr w:type="spellStart"/>
      <w:r w:rsidR="00964906">
        <w:rPr>
          <w:rFonts w:ascii="Times New Roman" w:hAnsi="Times New Roman" w:cs="Times New Roman"/>
          <w:iCs/>
          <w:sz w:val="28"/>
          <w:szCs w:val="28"/>
        </w:rPr>
        <w:t>м.кв</w:t>
      </w:r>
      <w:proofErr w:type="spellEnd"/>
      <w:r w:rsidR="00964906">
        <w:rPr>
          <w:rFonts w:ascii="Times New Roman" w:hAnsi="Times New Roman" w:cs="Times New Roman"/>
          <w:iCs/>
          <w:sz w:val="28"/>
          <w:szCs w:val="28"/>
        </w:rPr>
        <w:t xml:space="preserve">. в 2030 г. </w:t>
      </w:r>
    </w:p>
    <w:p w14:paraId="16C3F9A3" w14:textId="77777777" w:rsidR="00B40104" w:rsidRDefault="00B40104" w:rsidP="00C74417">
      <w:pPr>
        <w:spacing w:line="360" w:lineRule="auto"/>
        <w:ind w:firstLine="567"/>
        <w:jc w:val="both"/>
        <w:rPr>
          <w:rFonts w:ascii="Times New Roman" w:hAnsi="Times New Roman" w:cs="Times New Roman"/>
          <w:iCs/>
          <w:sz w:val="28"/>
          <w:szCs w:val="28"/>
        </w:rPr>
      </w:pPr>
    </w:p>
    <w:p w14:paraId="525D7AD6" w14:textId="77777777" w:rsidR="00B40104" w:rsidRDefault="00B40104" w:rsidP="00C74417">
      <w:pPr>
        <w:spacing w:line="360" w:lineRule="auto"/>
        <w:ind w:firstLine="567"/>
        <w:jc w:val="both"/>
        <w:rPr>
          <w:rFonts w:ascii="Times New Roman" w:hAnsi="Times New Roman" w:cs="Times New Roman"/>
          <w:iCs/>
          <w:sz w:val="28"/>
          <w:szCs w:val="28"/>
        </w:rPr>
      </w:pPr>
    </w:p>
    <w:p w14:paraId="5659C4F1" w14:textId="5D3DED41" w:rsidR="00B40104" w:rsidRPr="00B40104" w:rsidRDefault="00B40104">
      <w:pPr>
        <w:rPr>
          <w:rFonts w:ascii="Times New Roman" w:hAnsi="Times New Roman" w:cs="Times New Roman"/>
          <w:iCs/>
          <w:sz w:val="28"/>
          <w:szCs w:val="28"/>
        </w:rPr>
      </w:pPr>
      <w:r w:rsidRPr="00B40104">
        <w:rPr>
          <w:rFonts w:ascii="Times New Roman" w:hAnsi="Times New Roman" w:cs="Times New Roman"/>
          <w:iCs/>
          <w:sz w:val="28"/>
          <w:szCs w:val="28"/>
        </w:rPr>
        <w:br w:type="page"/>
      </w:r>
    </w:p>
    <w:p w14:paraId="6D4C4767" w14:textId="77777777" w:rsidR="00D86D14" w:rsidRPr="006E3DC0" w:rsidRDefault="00D86D14" w:rsidP="00226009">
      <w:pPr>
        <w:pStyle w:val="1"/>
        <w:numPr>
          <w:ilvl w:val="0"/>
          <w:numId w:val="14"/>
        </w:numPr>
        <w:rPr>
          <w:color w:val="000000" w:themeColor="text1"/>
        </w:rPr>
      </w:pPr>
      <w:bookmarkStart w:id="3" w:name="_Toc67417868"/>
      <w:r w:rsidRPr="006E3DC0">
        <w:rPr>
          <w:rFonts w:ascii="Times New Roman" w:hAnsi="Times New Roman"/>
          <w:color w:val="000000" w:themeColor="text1"/>
        </w:rPr>
        <w:t xml:space="preserve">Развитие человеческого </w:t>
      </w:r>
      <w:r w:rsidRPr="006E3DC0">
        <w:rPr>
          <w:rFonts w:ascii="Times New Roman" w:eastAsia="Noto Serif CJK SC" w:hAnsi="Times New Roman" w:cs="Lohit Devanagari"/>
          <w:color w:val="000000" w:themeColor="text1"/>
          <w:kern w:val="2"/>
          <w:lang w:eastAsia="zh-CN" w:bidi="hi-IN"/>
        </w:rPr>
        <w:t>потенциала</w:t>
      </w:r>
      <w:r w:rsidRPr="006E3DC0">
        <w:rPr>
          <w:rFonts w:ascii="Times New Roman" w:hAnsi="Times New Roman"/>
          <w:color w:val="000000" w:themeColor="text1"/>
        </w:rPr>
        <w:t xml:space="preserve"> и экономический рост</w:t>
      </w:r>
      <w:bookmarkEnd w:id="3"/>
    </w:p>
    <w:p w14:paraId="225C232B" w14:textId="77777777" w:rsidR="00D86D14" w:rsidRPr="005B6298" w:rsidRDefault="00D86D14" w:rsidP="00D86D14">
      <w:pPr>
        <w:pStyle w:val="a5"/>
        <w:spacing w:after="0" w:line="360" w:lineRule="auto"/>
        <w:ind w:left="0" w:firstLine="567"/>
        <w:jc w:val="both"/>
        <w:rPr>
          <w:rFonts w:ascii="Times New Roman" w:hAnsi="Times New Roman"/>
          <w:sz w:val="28"/>
          <w:szCs w:val="28"/>
        </w:rPr>
      </w:pPr>
    </w:p>
    <w:p w14:paraId="7255D4BC" w14:textId="77777777" w:rsidR="00FC5243" w:rsidRPr="00FC5243" w:rsidRDefault="00FC5243" w:rsidP="00FC5243">
      <w:pPr>
        <w:pStyle w:val="a5"/>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Качество жизни в стране, ее благосостояние, конкурентоспособность и перспективы в конечном счете определяются уровнем развития человеческого потенциала ее жителей и возможностями этот потенциал реализовать. Способность адекватно отвечать на различные стоящие перед страной вызовы, в том числе демографические, также зависит от уровня развития человеческого потенциала.</w:t>
      </w:r>
    </w:p>
    <w:p w14:paraId="61CF2B07" w14:textId="77777777" w:rsidR="00FC5243" w:rsidRPr="00FC5243" w:rsidRDefault="00FC5243" w:rsidP="00FC5243">
      <w:pPr>
        <w:pStyle w:val="a5"/>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Несмотря на многочисленные попытки исследователей “оцифровать” понятие человеческого потенциала, оно до сих пор остается достаточно размытом, с трудом поддающимся количественному, а не качественному описанию. Более того, вполне возможно, что не существует единственной метрики, способной оценить этот уровень, и даже для приблизительного его определения необходим анализ сразу нескольких различных показателей.</w:t>
      </w:r>
    </w:p>
    <w:p w14:paraId="63B299C3" w14:textId="77777777" w:rsidR="00FC5243" w:rsidRPr="00FC5243" w:rsidRDefault="00FC5243" w:rsidP="00FC5243">
      <w:pPr>
        <w:pStyle w:val="a5"/>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Внимания заслуживает используемый уже несколько десятилетий “Индекс человеческого развития” (ИЧР), или “Индекс развития человеческого потенциала”. При помощи этого индекса страны ранжируются исходя из значений нескольких показателей: ожидаемой продолжительности жизни (ОПЖ) при рождении, ожидаемой и средней продолжительности периода обучения, а также величины валового национального дохода (ВНД) на душу населения по паритету покупательной способности (ППС). ОПЖ при рождении характеризует состояние системы здравоохранения и образ жизни населения, продолжительность обучения – состояния образовательной системы и мотивированность населения к получению знаний и саморазвитию, а ВНД на душу населения по ППС – уровень экономического развития страны по сравнению с другими странами.</w:t>
      </w:r>
    </w:p>
    <w:p w14:paraId="55C1AF19" w14:textId="77777777" w:rsidR="00FC5243" w:rsidRPr="00FC5243" w:rsidRDefault="00FC5243" w:rsidP="00FC5243">
      <w:pPr>
        <w:pStyle w:val="a5"/>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В 2019 г. мировыми лидерами по ИЧР являлись Норвегия, Ирландия и Швейцария. Среди крупнейших стран самое высокое место – шестое – заняла Германия. Россия находилась на 52-м месте, по соседству с Черногорией, Румынией, Казахстаном, Белоруссией, Турцией и Уругваем</w:t>
      </w:r>
      <w:r w:rsidRPr="00FC5243">
        <w:rPr>
          <w:rStyle w:val="aff"/>
          <w:rFonts w:ascii="Times New Roman" w:eastAsia="Noto Serif CJK SC" w:hAnsi="Times New Roman" w:cs="Lohit Devanagari"/>
          <w:kern w:val="2"/>
          <w:sz w:val="28"/>
          <w:szCs w:val="28"/>
          <w:lang w:eastAsia="zh-CN" w:bidi="hi-IN"/>
        </w:rPr>
        <w:footnoteReference w:id="7"/>
      </w:r>
      <w:r w:rsidRPr="00FC5243">
        <w:rPr>
          <w:rFonts w:ascii="Times New Roman" w:eastAsia="Noto Serif CJK SC" w:hAnsi="Times New Roman" w:cs="Lohit Devanagari"/>
          <w:kern w:val="2"/>
          <w:sz w:val="28"/>
          <w:szCs w:val="28"/>
          <w:lang w:eastAsia="zh-CN" w:bidi="hi-IN"/>
        </w:rPr>
        <w:t>. К точности такого ранжирования можно предъявлять вполне справедливые претензии, однако оно может уловить заметные разрывы в уровне и качестве жизни между странами, а кроме того, что важнее, еще и задает конструкцию, в рамках которой возможен более детализированный анализ проблемы.</w:t>
      </w:r>
    </w:p>
    <w:p w14:paraId="02672315" w14:textId="77777777" w:rsidR="00FC5243" w:rsidRPr="00FC5243" w:rsidRDefault="00FC5243" w:rsidP="00FC5243">
      <w:pPr>
        <w:pStyle w:val="a5"/>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В этом разделе уровень развития человеческого потенциала России анализируется по нескольким направлениям, которые отчасти пересекаются с компонентами ИЧР:</w:t>
      </w:r>
    </w:p>
    <w:p w14:paraId="49B99DAB" w14:textId="77777777" w:rsidR="00FC5243" w:rsidRPr="00FC5243" w:rsidRDefault="00FC5243" w:rsidP="00FC5243">
      <w:pPr>
        <w:pStyle w:val="a5"/>
        <w:numPr>
          <w:ilvl w:val="0"/>
          <w:numId w:val="33"/>
        </w:numPr>
        <w:suppressAutoHyphens/>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i/>
          <w:iCs/>
          <w:kern w:val="2"/>
          <w:sz w:val="28"/>
          <w:szCs w:val="28"/>
          <w:lang w:eastAsia="zh-CN" w:bidi="hi-IN"/>
        </w:rPr>
        <w:t>Демографическому</w:t>
      </w:r>
      <w:r w:rsidRPr="00FC5243">
        <w:rPr>
          <w:rFonts w:ascii="Times New Roman" w:eastAsia="Noto Serif CJK SC" w:hAnsi="Times New Roman" w:cs="Lohit Devanagari"/>
          <w:kern w:val="2"/>
          <w:sz w:val="28"/>
          <w:szCs w:val="28"/>
          <w:lang w:eastAsia="zh-CN" w:bidi="hi-IN"/>
        </w:rPr>
        <w:t xml:space="preserve"> – детально рассматривается динамика ОПЖ при рождении и определявшие ее факторы; исследуется вопрос демографической нагрузки на экономику страны;</w:t>
      </w:r>
    </w:p>
    <w:p w14:paraId="70E27612" w14:textId="77777777" w:rsidR="00FC5243" w:rsidRPr="00FC5243" w:rsidRDefault="00FC5243" w:rsidP="00FC5243">
      <w:pPr>
        <w:pStyle w:val="a5"/>
        <w:numPr>
          <w:ilvl w:val="0"/>
          <w:numId w:val="33"/>
        </w:numPr>
        <w:suppressAutoHyphens/>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i/>
          <w:iCs/>
          <w:kern w:val="2"/>
          <w:sz w:val="28"/>
          <w:szCs w:val="28"/>
          <w:lang w:eastAsia="zh-CN" w:bidi="hi-IN"/>
        </w:rPr>
        <w:t>Мотивационному</w:t>
      </w:r>
      <w:r w:rsidRPr="00FC5243">
        <w:rPr>
          <w:rFonts w:ascii="Times New Roman" w:eastAsia="Noto Serif CJK SC" w:hAnsi="Times New Roman" w:cs="Lohit Devanagari"/>
          <w:kern w:val="2"/>
          <w:sz w:val="28"/>
          <w:szCs w:val="28"/>
          <w:lang w:eastAsia="zh-CN" w:bidi="hi-IN"/>
        </w:rPr>
        <w:t xml:space="preserve"> – через показатели вовлеченности населения в экономическую жизнь;</w:t>
      </w:r>
    </w:p>
    <w:p w14:paraId="3AD89649" w14:textId="77777777" w:rsidR="00FC5243" w:rsidRPr="00FC5243" w:rsidRDefault="00FC5243" w:rsidP="00FC5243">
      <w:pPr>
        <w:pStyle w:val="a5"/>
        <w:numPr>
          <w:ilvl w:val="0"/>
          <w:numId w:val="33"/>
        </w:numPr>
        <w:suppressAutoHyphens/>
        <w:spacing w:after="0" w:line="360" w:lineRule="auto"/>
        <w:ind w:left="0" w:firstLine="720"/>
        <w:jc w:val="both"/>
        <w:rPr>
          <w:rFonts w:ascii="Times New Roman" w:hAnsi="Times New Roman"/>
          <w:sz w:val="28"/>
          <w:szCs w:val="28"/>
        </w:rPr>
      </w:pPr>
      <w:r w:rsidRPr="00FC5243">
        <w:rPr>
          <w:rFonts w:ascii="Times New Roman" w:eastAsia="Noto Serif CJK SC" w:hAnsi="Times New Roman" w:cs="Lohit Devanagari"/>
          <w:i/>
          <w:iCs/>
          <w:kern w:val="2"/>
          <w:sz w:val="28"/>
          <w:szCs w:val="28"/>
          <w:lang w:eastAsia="zh-CN" w:bidi="hi-IN"/>
        </w:rPr>
        <w:t>Квалификационному</w:t>
      </w:r>
      <w:r w:rsidRPr="00FC5243">
        <w:rPr>
          <w:rFonts w:ascii="Times New Roman" w:eastAsia="Noto Serif CJK SC" w:hAnsi="Times New Roman" w:cs="Lohit Devanagari"/>
          <w:kern w:val="2"/>
          <w:sz w:val="28"/>
          <w:szCs w:val="28"/>
          <w:lang w:eastAsia="zh-CN" w:bidi="hi-IN"/>
        </w:rPr>
        <w:t xml:space="preserve"> – через рассмотрение структуры занятости в разрезе групп занятий (предполагается, что то, чем непосредственно занимается работник, определяет реализацию его потенциала в большей степени, чем его уровень образования, хотя, разумеется, два этих вопроса взаимосвязаны).</w:t>
      </w:r>
    </w:p>
    <w:p w14:paraId="220A5134" w14:textId="77777777" w:rsidR="00FC5243" w:rsidRPr="00FC5243" w:rsidRDefault="00FC5243" w:rsidP="00FC5243">
      <w:pPr>
        <w:spacing w:line="360" w:lineRule="auto"/>
        <w:ind w:firstLine="709"/>
        <w:jc w:val="both"/>
      </w:pPr>
      <w:r w:rsidRPr="00FC5243">
        <w:rPr>
          <w:rFonts w:ascii="Times New Roman" w:eastAsia="Noto Serif CJK SC" w:hAnsi="Times New Roman" w:cs="Times New Roman"/>
          <w:i/>
          <w:iCs/>
          <w:kern w:val="2"/>
          <w:sz w:val="28"/>
          <w:szCs w:val="28"/>
          <w:lang w:eastAsia="zh-CN" w:bidi="hi-IN"/>
        </w:rPr>
        <w:t>ОПЖ при рождении</w:t>
      </w:r>
      <w:r w:rsidRPr="00FC5243">
        <w:rPr>
          <w:rFonts w:ascii="Times New Roman" w:hAnsi="Times New Roman" w:cs="Times New Roman"/>
          <w:i/>
          <w:iCs/>
          <w:sz w:val="28"/>
          <w:szCs w:val="28"/>
        </w:rPr>
        <w:t>.</w:t>
      </w:r>
      <w:r w:rsidRPr="00FC5243">
        <w:rPr>
          <w:rFonts w:ascii="Times New Roman" w:hAnsi="Times New Roman" w:cs="Times New Roman"/>
          <w:sz w:val="28"/>
          <w:szCs w:val="28"/>
        </w:rPr>
        <w:t xml:space="preserve"> Несмотря на распространенное мнение о том, что демографическая ситуация в России является чуть ли не ключевым ограничением роста, наша позиция состоит в том, что это не совсем так. Естественно, нельзя отрицать наличия ряда негативных факторов, к которым можно отнести относительно низк</w:t>
      </w:r>
      <w:r w:rsidRPr="00FC5243">
        <w:rPr>
          <w:rFonts w:ascii="Times New Roman" w:eastAsia="Noto Serif CJK SC" w:hAnsi="Times New Roman" w:cs="Times New Roman"/>
          <w:kern w:val="2"/>
          <w:sz w:val="28"/>
          <w:szCs w:val="28"/>
          <w:lang w:eastAsia="zh-CN" w:bidi="hi-IN"/>
        </w:rPr>
        <w:t>ий</w:t>
      </w:r>
      <w:r w:rsidRPr="00FC5243">
        <w:rPr>
          <w:rFonts w:ascii="Times New Roman" w:hAnsi="Times New Roman" w:cs="Times New Roman"/>
          <w:sz w:val="28"/>
          <w:szCs w:val="28"/>
        </w:rPr>
        <w:t xml:space="preserve"> уровень рождаемости, </w:t>
      </w:r>
      <w:r w:rsidRPr="00FC5243">
        <w:rPr>
          <w:rFonts w:ascii="Times New Roman" w:eastAsia="Noto Serif CJK SC" w:hAnsi="Times New Roman" w:cs="Times New Roman"/>
          <w:kern w:val="2"/>
          <w:sz w:val="28"/>
          <w:szCs w:val="28"/>
          <w:lang w:eastAsia="zh-CN" w:bidi="hi-IN"/>
        </w:rPr>
        <w:t>все еще высокий уровень смертности</w:t>
      </w:r>
      <w:r w:rsidRPr="00FC5243">
        <w:rPr>
          <w:rFonts w:ascii="Times New Roman" w:hAnsi="Times New Roman" w:cs="Times New Roman"/>
          <w:sz w:val="28"/>
          <w:szCs w:val="28"/>
        </w:rPr>
        <w:t xml:space="preserve">, </w:t>
      </w:r>
      <w:r w:rsidRPr="00FC5243">
        <w:rPr>
          <w:rFonts w:ascii="Times New Roman" w:eastAsia="Noto Serif CJK SC" w:hAnsi="Times New Roman" w:cs="Times New Roman"/>
          <w:kern w:val="2"/>
          <w:sz w:val="28"/>
          <w:szCs w:val="28"/>
          <w:lang w:eastAsia="zh-CN" w:bidi="hi-IN"/>
        </w:rPr>
        <w:t>существование</w:t>
      </w:r>
      <w:r w:rsidRPr="00FC5243">
        <w:rPr>
          <w:rFonts w:ascii="Times New Roman" w:hAnsi="Times New Roman" w:cs="Times New Roman"/>
          <w:sz w:val="28"/>
          <w:szCs w:val="28"/>
        </w:rPr>
        <w:t xml:space="preserve"> долгосрочных демографических волн (</w:t>
      </w:r>
      <w:r w:rsidRPr="00FC5243">
        <w:rPr>
          <w:rFonts w:ascii="Times New Roman" w:eastAsia="Noto Serif CJK SC" w:hAnsi="Times New Roman" w:cs="Times New Roman"/>
          <w:kern w:val="2"/>
          <w:sz w:val="28"/>
          <w:szCs w:val="28"/>
          <w:lang w:eastAsia="zh-CN" w:bidi="hi-IN"/>
        </w:rPr>
        <w:t>до сих пор заметное</w:t>
      </w:r>
      <w:r w:rsidRPr="00FC5243">
        <w:rPr>
          <w:rFonts w:ascii="Times New Roman" w:hAnsi="Times New Roman" w:cs="Times New Roman"/>
          <w:sz w:val="28"/>
          <w:szCs w:val="28"/>
        </w:rPr>
        <w:t xml:space="preserve"> </w:t>
      </w:r>
      <w:r w:rsidRPr="00FC5243">
        <w:rPr>
          <w:rFonts w:ascii="Times New Roman" w:eastAsia="Noto Serif CJK SC" w:hAnsi="Times New Roman" w:cs="Times New Roman"/>
          <w:kern w:val="2"/>
          <w:sz w:val="28"/>
          <w:szCs w:val="28"/>
          <w:lang w:eastAsia="zh-CN" w:bidi="hi-IN"/>
        </w:rPr>
        <w:t>“эхо”</w:t>
      </w:r>
      <w:r w:rsidRPr="00FC5243">
        <w:rPr>
          <w:rFonts w:ascii="Times New Roman" w:hAnsi="Times New Roman" w:cs="Times New Roman"/>
          <w:sz w:val="28"/>
          <w:szCs w:val="28"/>
        </w:rPr>
        <w:t xml:space="preserve"> войны и других событий прошлого), из-за которых в средне- и долгосрочной перспективе неизбежно сокращени</w:t>
      </w:r>
      <w:r w:rsidRPr="00FC5243">
        <w:rPr>
          <w:rFonts w:ascii="Times New Roman" w:eastAsia="Noto Serif CJK SC" w:hAnsi="Times New Roman" w:cs="Times New Roman"/>
          <w:kern w:val="2"/>
          <w:sz w:val="28"/>
          <w:szCs w:val="28"/>
          <w:lang w:eastAsia="zh-CN" w:bidi="hi-IN"/>
        </w:rPr>
        <w:t>е</w:t>
      </w:r>
      <w:r w:rsidRPr="00FC5243">
        <w:rPr>
          <w:rFonts w:ascii="Times New Roman" w:hAnsi="Times New Roman" w:cs="Times New Roman"/>
          <w:sz w:val="28"/>
          <w:szCs w:val="28"/>
        </w:rPr>
        <w:t xml:space="preserve"> численности населения в трудоспособном возрасте.</w:t>
      </w:r>
    </w:p>
    <w:p w14:paraId="00D9F3D6" w14:textId="77777777" w:rsidR="00FC5243" w:rsidRPr="00FC5243" w:rsidRDefault="00FC5243" w:rsidP="00FC5243">
      <w:pPr>
        <w:spacing w:line="360" w:lineRule="auto"/>
        <w:ind w:firstLine="709"/>
        <w:jc w:val="both"/>
        <w:rPr>
          <w:rFonts w:ascii="Times New Roman" w:eastAsia="Noto Serif CJK SC" w:hAnsi="Times New Roman" w:cs="Times New Roman"/>
          <w:kern w:val="2"/>
          <w:sz w:val="28"/>
          <w:szCs w:val="28"/>
          <w:lang w:eastAsia="zh-CN" w:bidi="hi-IN"/>
        </w:rPr>
      </w:pPr>
      <w:r w:rsidRPr="00FC5243">
        <w:rPr>
          <w:rFonts w:ascii="Times New Roman" w:hAnsi="Times New Roman" w:cs="Times New Roman"/>
          <w:sz w:val="28"/>
          <w:szCs w:val="28"/>
        </w:rPr>
        <w:t xml:space="preserve">Но в то же время нельзя не отметить начавшееся еще в середине 2000-х гг. падение уровня смертности: ОПЖ при рождении (это интегральный показатель уровня смертности) в </w:t>
      </w:r>
      <w:proofErr w:type="gramStart"/>
      <w:r w:rsidRPr="00FC5243">
        <w:rPr>
          <w:rFonts w:ascii="Times New Roman" w:hAnsi="Times New Roman" w:cs="Times New Roman"/>
          <w:sz w:val="28"/>
          <w:szCs w:val="28"/>
        </w:rPr>
        <w:t>2005-2019</w:t>
      </w:r>
      <w:proofErr w:type="gramEnd"/>
      <w:r w:rsidRPr="00FC5243">
        <w:rPr>
          <w:rFonts w:ascii="Times New Roman" w:hAnsi="Times New Roman" w:cs="Times New Roman"/>
          <w:sz w:val="28"/>
          <w:szCs w:val="28"/>
        </w:rPr>
        <w:t xml:space="preserve"> гг. увеличился на 8.0 года (до 73.3 года), в том числе у мужчин – на 9.3 года (до 68.2 года), а у женщин – на 5.7 года (до 78.2 года) (рис. 3.1). Это </w:t>
      </w:r>
      <w:r w:rsidRPr="00FC5243">
        <w:rPr>
          <w:rFonts w:ascii="Times New Roman" w:eastAsia="Noto Serif CJK SC" w:hAnsi="Times New Roman" w:cs="Times New Roman"/>
          <w:kern w:val="2"/>
          <w:sz w:val="28"/>
          <w:szCs w:val="28"/>
          <w:lang w:eastAsia="zh-CN" w:bidi="hi-IN"/>
        </w:rPr>
        <w:t>один</w:t>
      </w:r>
      <w:r w:rsidRPr="00FC5243">
        <w:rPr>
          <w:rFonts w:ascii="Times New Roman" w:hAnsi="Times New Roman" w:cs="Times New Roman"/>
          <w:sz w:val="28"/>
          <w:szCs w:val="28"/>
        </w:rPr>
        <w:t xml:space="preserve"> из наиболее важных (а возможно, что и </w:t>
      </w:r>
      <w:r w:rsidRPr="00FC5243">
        <w:rPr>
          <w:rFonts w:ascii="Times New Roman" w:eastAsia="Noto Serif CJK SC" w:hAnsi="Times New Roman" w:cs="Times New Roman"/>
          <w:kern w:val="2"/>
          <w:sz w:val="28"/>
          <w:szCs w:val="28"/>
          <w:lang w:eastAsia="zh-CN" w:bidi="hi-IN"/>
        </w:rPr>
        <w:t>самый важный) процесс в жизни страны за последние десятилетия.</w:t>
      </w:r>
    </w:p>
    <w:p w14:paraId="446C1835" w14:textId="77777777" w:rsidR="00FC5243" w:rsidRPr="00FC5243" w:rsidRDefault="00FC5243" w:rsidP="00FC5243">
      <w:pPr>
        <w:spacing w:line="360" w:lineRule="auto"/>
        <w:ind w:firstLine="709"/>
        <w:jc w:val="both"/>
        <w:rPr>
          <w:rFonts w:ascii="Times New Roman" w:hAnsi="Times New Roman" w:cs="Times New Roman"/>
          <w:sz w:val="28"/>
          <w:szCs w:val="28"/>
        </w:rPr>
      </w:pPr>
      <w:r w:rsidRPr="00FC5243">
        <w:rPr>
          <w:rFonts w:ascii="Times New Roman" w:eastAsia="Noto Serif CJK SC" w:hAnsi="Times New Roman" w:cs="Times New Roman"/>
          <w:kern w:val="2"/>
          <w:sz w:val="28"/>
          <w:szCs w:val="28"/>
          <w:lang w:eastAsia="zh-CN" w:bidi="hi-IN"/>
        </w:rPr>
        <w:t>Начавшийся в 2020 г. эпидемиологический кризис существенно изменил текущую ситуацию со смертностью: по предварительной оценке, по итогам 2020 г. ОПЖ при рождении (для обоих полов) составила в России 71.1 года, снизившись по сравнению с 2019 г. сразу на 2.2 года. Эпидемия продолжает влиять на уровень смертности и в 2021 г., поэтому нельзя исключать пессимистический сценарий, при котором в среднесрочной перспективе ОПЖ при рождении будет на несколько лет ниже «</w:t>
      </w:r>
      <w:proofErr w:type="spellStart"/>
      <w:r w:rsidRPr="00FC5243">
        <w:rPr>
          <w:rFonts w:ascii="Times New Roman" w:eastAsia="Noto Serif CJK SC" w:hAnsi="Times New Roman" w:cs="Times New Roman"/>
          <w:kern w:val="2"/>
          <w:sz w:val="28"/>
          <w:szCs w:val="28"/>
          <w:lang w:eastAsia="zh-CN" w:bidi="hi-IN"/>
        </w:rPr>
        <w:t>доковидной</w:t>
      </w:r>
      <w:proofErr w:type="spellEnd"/>
      <w:r w:rsidRPr="00FC5243">
        <w:rPr>
          <w:rFonts w:ascii="Times New Roman" w:eastAsia="Noto Serif CJK SC" w:hAnsi="Times New Roman" w:cs="Times New Roman"/>
          <w:kern w:val="2"/>
          <w:sz w:val="28"/>
          <w:szCs w:val="28"/>
          <w:lang w:eastAsia="zh-CN" w:bidi="hi-IN"/>
        </w:rPr>
        <w:t>» траектории.</w:t>
      </w:r>
    </w:p>
    <w:p w14:paraId="01E97D54" w14:textId="77777777" w:rsidR="00FC5243" w:rsidRPr="00FC5243" w:rsidRDefault="00FC5243" w:rsidP="00FC5243">
      <w:pPr>
        <w:spacing w:line="360" w:lineRule="auto"/>
        <w:ind w:firstLine="709"/>
        <w:jc w:val="both"/>
        <w:rPr>
          <w:rFonts w:ascii="Times New Roman" w:hAnsi="Times New Roman" w:cs="Times New Roman"/>
          <w:sz w:val="28"/>
          <w:szCs w:val="28"/>
        </w:rPr>
      </w:pPr>
    </w:p>
    <w:p w14:paraId="7579B6CF" w14:textId="77777777" w:rsidR="00FC5243" w:rsidRPr="00FC5243" w:rsidRDefault="00FC5243" w:rsidP="00FC5243">
      <w:pPr>
        <w:spacing w:line="360" w:lineRule="auto"/>
        <w:jc w:val="both"/>
        <w:rPr>
          <w:rFonts w:ascii="Times New Roman" w:hAnsi="Times New Roman" w:cs="Times New Roman"/>
          <w:sz w:val="28"/>
          <w:szCs w:val="28"/>
        </w:rPr>
      </w:pPr>
      <w:r w:rsidRPr="00FC5243">
        <w:rPr>
          <w:rFonts w:ascii="Times New Roman" w:hAnsi="Times New Roman" w:cs="Times New Roman"/>
          <w:noProof/>
          <w:sz w:val="28"/>
          <w:szCs w:val="28"/>
          <w:lang w:eastAsia="ru-RU"/>
        </w:rPr>
        <w:drawing>
          <wp:anchor distT="0" distB="0" distL="0" distR="0" simplePos="0" relativeHeight="251672576" behindDoc="0" locked="0" layoutInCell="0" allowOverlap="1" wp14:anchorId="1621E801" wp14:editId="2DCE2882">
            <wp:simplePos x="0" y="0"/>
            <wp:positionH relativeFrom="column">
              <wp:align>center</wp:align>
            </wp:positionH>
            <wp:positionV relativeFrom="paragraph">
              <wp:posOffset>635</wp:posOffset>
            </wp:positionV>
            <wp:extent cx="5105400" cy="2750820"/>
            <wp:effectExtent l="0" t="0" r="0" b="0"/>
            <wp:wrapSquare wrapText="largest"/>
            <wp:docPr id="29"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pic:cNvPicPr>
                      <a:picLocks noChangeAspect="1" noChangeArrowheads="1"/>
                    </pic:cNvPicPr>
                  </pic:nvPicPr>
                  <pic:blipFill>
                    <a:blip r:embed="rId11"/>
                    <a:stretch>
                      <a:fillRect/>
                    </a:stretch>
                  </pic:blipFill>
                  <pic:spPr bwMode="auto">
                    <a:xfrm>
                      <a:off x="0" y="0"/>
                      <a:ext cx="5105400" cy="2750820"/>
                    </a:xfrm>
                    <a:prstGeom prst="rect">
                      <a:avLst/>
                    </a:prstGeom>
                  </pic:spPr>
                </pic:pic>
              </a:graphicData>
            </a:graphic>
          </wp:anchor>
        </w:drawing>
      </w:r>
    </w:p>
    <w:p w14:paraId="5967255A" w14:textId="77777777" w:rsidR="00FC5243" w:rsidRPr="00FC5243" w:rsidRDefault="00FC5243" w:rsidP="00FC5243">
      <w:pPr>
        <w:spacing w:line="360" w:lineRule="auto"/>
        <w:ind w:firstLine="709"/>
        <w:jc w:val="both"/>
        <w:rPr>
          <w:rFonts w:ascii="Times New Roman" w:hAnsi="Times New Roman" w:cs="Times New Roman"/>
          <w:sz w:val="28"/>
          <w:szCs w:val="28"/>
        </w:rPr>
      </w:pPr>
    </w:p>
    <w:p w14:paraId="6510CBBA" w14:textId="77777777" w:rsidR="00FC5243" w:rsidRPr="00FC5243" w:rsidRDefault="00FC5243" w:rsidP="00FC5243">
      <w:pPr>
        <w:spacing w:line="360" w:lineRule="auto"/>
        <w:jc w:val="center"/>
      </w:pPr>
      <w:r w:rsidRPr="00FC5243">
        <w:rPr>
          <w:rFonts w:ascii="Times New Roman" w:hAnsi="Times New Roman" w:cs="Times New Roman"/>
          <w:sz w:val="28"/>
          <w:szCs w:val="28"/>
        </w:rPr>
        <w:t>Рис. 3.1. Ожидаемая продолжительность жизни при рождении для обоих полов в России и некоторых странах, лет</w:t>
      </w:r>
    </w:p>
    <w:p w14:paraId="50649D33" w14:textId="77777777" w:rsidR="00FC5243" w:rsidRPr="00FC5243" w:rsidRDefault="00FC5243" w:rsidP="00FC5243">
      <w:pPr>
        <w:spacing w:line="360" w:lineRule="auto"/>
        <w:jc w:val="both"/>
      </w:pPr>
      <w:r w:rsidRPr="00FC5243">
        <w:rPr>
          <w:rFonts w:ascii="Times New Roman" w:eastAsia="Noto Serif CJK SC" w:hAnsi="Times New Roman" w:cs="Times New Roman"/>
          <w:kern w:val="2"/>
          <w:sz w:val="24"/>
          <w:szCs w:val="24"/>
          <w:lang w:eastAsia="zh-CN" w:bidi="hi-IN"/>
        </w:rPr>
        <w:t>Источник: Росстат, Всемирный банк</w:t>
      </w:r>
    </w:p>
    <w:p w14:paraId="3EEF8651" w14:textId="77777777" w:rsidR="00FC5243" w:rsidRPr="00FC5243" w:rsidRDefault="00FC5243" w:rsidP="00FC5243">
      <w:pPr>
        <w:spacing w:line="360" w:lineRule="auto"/>
        <w:ind w:firstLine="709"/>
        <w:jc w:val="both"/>
        <w:rPr>
          <w:rFonts w:ascii="Times New Roman" w:hAnsi="Times New Roman" w:cs="Times New Roman"/>
          <w:sz w:val="28"/>
          <w:szCs w:val="28"/>
        </w:rPr>
      </w:pPr>
      <w:r w:rsidRPr="00FC5243">
        <w:rPr>
          <w:rFonts w:ascii="Times New Roman" w:eastAsia="Noto Serif CJK SC" w:hAnsi="Times New Roman" w:cs="Times New Roman"/>
          <w:kern w:val="2"/>
          <w:sz w:val="28"/>
          <w:szCs w:val="28"/>
          <w:lang w:eastAsia="zh-CN" w:bidi="hi-IN"/>
        </w:rPr>
        <w:t xml:space="preserve">Отдельного упоминания, наряду с общим процессом снижения уровня смертности, заслуживает один из его аспектов - динамика младенческой смертности. По итогам 2019 г. она составила 4.9 промилле против 11.0 промилле в 2005 г. и 15.3 промилле в 2000 г. Отметим, что уровень младенческой смертности - один из целевых показателей выполнения национальных проектов: проект «Здравоохранение» предполагал достижение им значения 5.0 промилле к 2024 г. </w:t>
      </w:r>
    </w:p>
    <w:p w14:paraId="0600B4A2" w14:textId="77777777" w:rsidR="00FC5243" w:rsidRPr="00FC5243" w:rsidRDefault="00FC5243" w:rsidP="00FC5243">
      <w:pPr>
        <w:spacing w:line="360" w:lineRule="auto"/>
        <w:ind w:firstLine="709"/>
        <w:jc w:val="both"/>
        <w:rPr>
          <w:rFonts w:ascii="Times New Roman" w:eastAsia="Noto Serif CJK SC" w:hAnsi="Times New Roman" w:cs="Times New Roman"/>
          <w:kern w:val="2"/>
          <w:sz w:val="28"/>
          <w:szCs w:val="28"/>
          <w:lang w:eastAsia="zh-CN" w:bidi="hi-IN"/>
        </w:rPr>
      </w:pPr>
      <w:r w:rsidRPr="00FC5243">
        <w:rPr>
          <w:rFonts w:ascii="Times New Roman" w:eastAsia="Noto Serif CJK SC" w:hAnsi="Times New Roman" w:cs="Times New Roman"/>
          <w:kern w:val="2"/>
          <w:sz w:val="28"/>
          <w:szCs w:val="28"/>
          <w:lang w:eastAsia="zh-CN" w:bidi="hi-IN"/>
        </w:rPr>
        <w:t>Наблюдавшийся до 2020 г. рост ОПЖ при рождении (или, что эквивалентно, снижение уровня смертности), во-первых, был связан с общими для некоторых постсоветских стран закономерностями развития общества, изменением установок и образа жизни значительной части их населения (в Белоруссии и – в меньшей степени – на Украине ОПЖ при рождении тоже растет, хотя и медленнее, чем в России). Во-вторых, с государственными мерами в области развития приоритетных направлений здравоохранения (строительство перинатальных и кардиологических центров в регионах страны), строительства и обновления инфраструктуры, прежде всего автомобильных дорог, и институционального регулирования рынка алкоголя.</w:t>
      </w:r>
    </w:p>
    <w:p w14:paraId="641E7135" w14:textId="77777777" w:rsidR="00FC5243" w:rsidRPr="00FC5243" w:rsidRDefault="00FC5243" w:rsidP="00FC5243">
      <w:pPr>
        <w:spacing w:line="360" w:lineRule="auto"/>
        <w:ind w:firstLine="709"/>
        <w:jc w:val="both"/>
        <w:rPr>
          <w:rFonts w:ascii="Times New Roman" w:eastAsia="Noto Serif CJK SC" w:hAnsi="Times New Roman" w:cs="Times New Roman"/>
          <w:kern w:val="2"/>
          <w:sz w:val="28"/>
          <w:szCs w:val="28"/>
          <w:lang w:eastAsia="zh-CN" w:bidi="hi-IN"/>
        </w:rPr>
      </w:pPr>
      <w:r w:rsidRPr="00FC5243">
        <w:rPr>
          <w:rFonts w:ascii="Times New Roman" w:eastAsia="Noto Serif CJK SC" w:hAnsi="Times New Roman" w:cs="Times New Roman"/>
          <w:kern w:val="2"/>
          <w:sz w:val="28"/>
          <w:szCs w:val="28"/>
          <w:lang w:eastAsia="zh-CN" w:bidi="hi-IN"/>
        </w:rPr>
        <w:t xml:space="preserve">В то же время, как показывают </w:t>
      </w:r>
      <w:proofErr w:type="spellStart"/>
      <w:r w:rsidRPr="00FC5243">
        <w:rPr>
          <w:rFonts w:ascii="Times New Roman" w:eastAsia="Noto Serif CJK SC" w:hAnsi="Times New Roman" w:cs="Times New Roman"/>
          <w:kern w:val="2"/>
          <w:sz w:val="28"/>
          <w:szCs w:val="28"/>
          <w:lang w:eastAsia="zh-CN" w:bidi="hi-IN"/>
        </w:rPr>
        <w:t>межстрановые</w:t>
      </w:r>
      <w:proofErr w:type="spellEnd"/>
      <w:r w:rsidRPr="00FC5243">
        <w:rPr>
          <w:rFonts w:ascii="Times New Roman" w:eastAsia="Noto Serif CJK SC" w:hAnsi="Times New Roman" w:cs="Times New Roman"/>
          <w:kern w:val="2"/>
          <w:sz w:val="28"/>
          <w:szCs w:val="28"/>
          <w:lang w:eastAsia="zh-CN" w:bidi="hi-IN"/>
        </w:rPr>
        <w:t xml:space="preserve"> сопоставления, все еще остается огромный потенциал снижения уровня смертности. Если за десять ближайших лет Россия достигнет текущей ОПЖ при рождении в Польше (78 лет для обоих полов), это будет очень значительным успехом.</w:t>
      </w:r>
    </w:p>
    <w:p w14:paraId="7EE9ED98" w14:textId="77777777" w:rsidR="00FC5243" w:rsidRPr="00FC5243" w:rsidRDefault="00FC5243" w:rsidP="00FC5243">
      <w:pPr>
        <w:spacing w:line="360" w:lineRule="auto"/>
        <w:ind w:firstLine="709"/>
        <w:jc w:val="both"/>
        <w:rPr>
          <w:rFonts w:ascii="Times New Roman" w:hAnsi="Times New Roman" w:cs="Times New Roman"/>
          <w:sz w:val="28"/>
          <w:szCs w:val="28"/>
        </w:rPr>
      </w:pPr>
      <w:r w:rsidRPr="00FC5243">
        <w:rPr>
          <w:rFonts w:ascii="Times New Roman" w:eastAsia="Noto Serif CJK SC" w:hAnsi="Times New Roman" w:cs="Times New Roman"/>
          <w:kern w:val="2"/>
          <w:sz w:val="28"/>
          <w:szCs w:val="28"/>
          <w:lang w:eastAsia="zh-CN" w:bidi="hi-IN"/>
        </w:rPr>
        <w:t>Полезным инструментом для анализа ОПЖ при рождении является декомпозиция разности значений этого показателя между популяциями или различными периодами в рамках одной популяции по причинам смерти, возрастным группам или сразу по двум этим характеристикам</w:t>
      </w:r>
      <w:r w:rsidRPr="00FC5243">
        <w:rPr>
          <w:rStyle w:val="aff"/>
          <w:rFonts w:ascii="Times New Roman" w:eastAsia="Noto Serif CJK SC" w:hAnsi="Times New Roman" w:cs="Times New Roman"/>
          <w:kern w:val="2"/>
          <w:sz w:val="28"/>
          <w:szCs w:val="28"/>
          <w:lang w:eastAsia="zh-CN" w:bidi="hi-IN"/>
        </w:rPr>
        <w:footnoteReference w:id="8"/>
      </w:r>
      <w:r w:rsidRPr="00FC5243">
        <w:rPr>
          <w:rFonts w:ascii="Times New Roman" w:eastAsia="Noto Serif CJK SC" w:hAnsi="Times New Roman" w:cs="Times New Roman"/>
          <w:kern w:val="2"/>
          <w:sz w:val="28"/>
          <w:szCs w:val="28"/>
          <w:lang w:eastAsia="zh-CN" w:bidi="hi-IN"/>
        </w:rPr>
        <w:t>.</w:t>
      </w:r>
    </w:p>
    <w:p w14:paraId="6F4CDD46" w14:textId="77777777" w:rsidR="00FC5243" w:rsidRPr="00FC5243" w:rsidRDefault="00FC5243" w:rsidP="00FC5243">
      <w:pPr>
        <w:spacing w:line="360" w:lineRule="auto"/>
        <w:ind w:firstLine="709"/>
        <w:jc w:val="both"/>
        <w:rPr>
          <w:rFonts w:ascii="Times New Roman" w:eastAsia="Noto Serif CJK SC" w:hAnsi="Times New Roman" w:cs="Times New Roman"/>
          <w:kern w:val="2"/>
          <w:sz w:val="28"/>
          <w:szCs w:val="28"/>
          <w:lang w:eastAsia="zh-CN" w:bidi="hi-IN"/>
        </w:rPr>
      </w:pPr>
      <w:r w:rsidRPr="00FC5243">
        <w:rPr>
          <w:rFonts w:ascii="Times New Roman" w:eastAsia="Noto Serif CJK SC" w:hAnsi="Times New Roman" w:cs="Times New Roman"/>
          <w:kern w:val="2"/>
          <w:sz w:val="28"/>
          <w:szCs w:val="28"/>
          <w:lang w:eastAsia="zh-CN" w:bidi="hi-IN"/>
        </w:rPr>
        <w:t xml:space="preserve">На рис. 3.2 и в таблице 3.1 показана декомпозиция прироста ОПЖ при рождении в </w:t>
      </w:r>
      <w:proofErr w:type="gramStart"/>
      <w:r w:rsidRPr="00FC5243">
        <w:rPr>
          <w:rFonts w:ascii="Times New Roman" w:eastAsia="Noto Serif CJK SC" w:hAnsi="Times New Roman" w:cs="Times New Roman"/>
          <w:kern w:val="2"/>
          <w:sz w:val="28"/>
          <w:szCs w:val="28"/>
          <w:lang w:eastAsia="zh-CN" w:bidi="hi-IN"/>
        </w:rPr>
        <w:t>2005-2019</w:t>
      </w:r>
      <w:proofErr w:type="gramEnd"/>
      <w:r w:rsidRPr="00FC5243">
        <w:rPr>
          <w:rFonts w:ascii="Times New Roman" w:eastAsia="Noto Serif CJK SC" w:hAnsi="Times New Roman" w:cs="Times New Roman"/>
          <w:kern w:val="2"/>
          <w:sz w:val="28"/>
          <w:szCs w:val="28"/>
          <w:lang w:eastAsia="zh-CN" w:bidi="hi-IN"/>
        </w:rPr>
        <w:t xml:space="preserve"> гг. отдельно для мужчин и женщин: в первом случае – по укрупненным группам причин смерти в разрезе Международного классификатора болезней 10-го пересмотра (МКБ-10), во втором – двумерная разбивка по тем же причинам смерти и широким возрастным группам.</w:t>
      </w:r>
    </w:p>
    <w:p w14:paraId="72D1A669" w14:textId="77777777" w:rsidR="00FC5243" w:rsidRDefault="00FC5243" w:rsidP="00FC5243">
      <w:pPr>
        <w:spacing w:line="360" w:lineRule="auto"/>
        <w:ind w:firstLine="709"/>
        <w:jc w:val="both"/>
        <w:rPr>
          <w:rFonts w:ascii="Times New Roman" w:eastAsia="Noto Serif CJK SC" w:hAnsi="Times New Roman" w:cs="Times New Roman"/>
          <w:kern w:val="2"/>
          <w:sz w:val="28"/>
          <w:szCs w:val="28"/>
          <w:lang w:eastAsia="zh-CN" w:bidi="hi-IN"/>
        </w:rPr>
      </w:pPr>
      <w:r w:rsidRPr="00FC5243">
        <w:rPr>
          <w:rFonts w:ascii="Times New Roman" w:eastAsia="Noto Serif CJK SC" w:hAnsi="Times New Roman" w:cs="Times New Roman"/>
          <w:kern w:val="2"/>
          <w:sz w:val="28"/>
          <w:szCs w:val="28"/>
          <w:lang w:eastAsia="zh-CN" w:bidi="hi-IN"/>
        </w:rPr>
        <w:t xml:space="preserve">Как показывает рис. 3.2, для мужчин основной вклад в рост ОПЖ при рождении в </w:t>
      </w:r>
      <w:proofErr w:type="gramStart"/>
      <w:r w:rsidRPr="00FC5243">
        <w:rPr>
          <w:rFonts w:ascii="Times New Roman" w:eastAsia="Noto Serif CJK SC" w:hAnsi="Times New Roman" w:cs="Times New Roman"/>
          <w:kern w:val="2"/>
          <w:sz w:val="28"/>
          <w:szCs w:val="28"/>
          <w:lang w:eastAsia="zh-CN" w:bidi="hi-IN"/>
        </w:rPr>
        <w:t>2005-2009</w:t>
      </w:r>
      <w:proofErr w:type="gramEnd"/>
      <w:r w:rsidRPr="00FC5243">
        <w:rPr>
          <w:rFonts w:ascii="Times New Roman" w:eastAsia="Noto Serif CJK SC" w:hAnsi="Times New Roman" w:cs="Times New Roman"/>
          <w:kern w:val="2"/>
          <w:sz w:val="28"/>
          <w:szCs w:val="28"/>
          <w:lang w:eastAsia="zh-CN" w:bidi="hi-IN"/>
        </w:rPr>
        <w:t xml:space="preserve"> гг. обусловили две группы причин: “Внешние причины заболеваемости и смертности” (4.20 года) и “Болезни системы кровообращения” (4.05 года). Показатели в скобках интерпретируются таким образом: если бы в 2019 г. возрастные коэффициенты смертности от «Внешних причин заболеваемости и смертности» и «Болезней системы кровообращения» были такими же, как в 2005 г., их ОПЖ при рождении снизилась бы, соответственно, на 4.20 и 4.05 года. Также можно выделить вклад в рост ОПЖ при рождении российских мужчин снижения смертности от “Болезней органов дыхания” (0.48 года) и “Новообразований</w:t>
      </w:r>
      <w:r>
        <w:rPr>
          <w:rFonts w:ascii="Times New Roman" w:eastAsia="Noto Serif CJK SC" w:hAnsi="Times New Roman" w:cs="Times New Roman"/>
          <w:kern w:val="2"/>
          <w:sz w:val="28"/>
          <w:szCs w:val="28"/>
          <w:lang w:eastAsia="zh-CN" w:bidi="hi-IN"/>
        </w:rPr>
        <w:t>” (0.32 года).</w:t>
      </w:r>
    </w:p>
    <w:p w14:paraId="6FE9FE35" w14:textId="77777777" w:rsidR="00FC5243" w:rsidRDefault="00FC5243" w:rsidP="00FC524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У российских женщин наибольший вклад в рост ОПЖ при рождении внесли “Болезни системы кровообращения” (4.15 года), за ними следуют “Внешние причины заболеваемости и смертности” (1.54 года), “Новообразования” (0.21 года) и “Болезни органов дыхания” (0.18 года).</w:t>
      </w:r>
    </w:p>
    <w:p w14:paraId="7ECA1F07" w14:textId="77777777" w:rsidR="00FC5243" w:rsidRDefault="00FC5243" w:rsidP="00FC5243">
      <w:pPr>
        <w:spacing w:line="360" w:lineRule="auto"/>
        <w:ind w:firstLine="709"/>
        <w:jc w:val="both"/>
        <w:rPr>
          <w:rFonts w:ascii="Times New Roman" w:hAnsi="Times New Roman" w:cs="Times New Roman"/>
          <w:sz w:val="28"/>
          <w:szCs w:val="28"/>
        </w:rPr>
      </w:pPr>
    </w:p>
    <w:p w14:paraId="2B153F6A" w14:textId="77777777" w:rsidR="00FC5243" w:rsidRDefault="00FC5243" w:rsidP="00FC5243">
      <w:pPr>
        <w:spacing w:line="360" w:lineRule="auto"/>
        <w:ind w:firstLine="709"/>
        <w:jc w:val="both"/>
        <w:rPr>
          <w:rFonts w:ascii="Times New Roman" w:hAnsi="Times New Roman" w:cs="Times New Roman"/>
          <w:sz w:val="28"/>
          <w:szCs w:val="28"/>
        </w:rPr>
      </w:pPr>
    </w:p>
    <w:p w14:paraId="692E8053" w14:textId="77777777" w:rsidR="00FC5243" w:rsidRDefault="00FC5243" w:rsidP="00FC5243">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0" distR="0" simplePos="0" relativeHeight="251671552" behindDoc="0" locked="0" layoutInCell="0" allowOverlap="1" wp14:anchorId="58F4DB44" wp14:editId="448CA9F4">
            <wp:simplePos x="0" y="0"/>
            <wp:positionH relativeFrom="column">
              <wp:posOffset>907415</wp:posOffset>
            </wp:positionH>
            <wp:positionV relativeFrom="paragraph">
              <wp:posOffset>-669290</wp:posOffset>
            </wp:positionV>
            <wp:extent cx="4480560" cy="3083560"/>
            <wp:effectExtent l="0" t="0" r="0" b="0"/>
            <wp:wrapSquare wrapText="largest"/>
            <wp:docPr id="3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pic:cNvPicPr>
                      <a:picLocks noChangeAspect="1" noChangeArrowheads="1"/>
                    </pic:cNvPicPr>
                  </pic:nvPicPr>
                  <pic:blipFill>
                    <a:blip r:embed="rId12"/>
                    <a:stretch>
                      <a:fillRect/>
                    </a:stretch>
                  </pic:blipFill>
                  <pic:spPr bwMode="auto">
                    <a:xfrm>
                      <a:off x="0" y="0"/>
                      <a:ext cx="4480560" cy="3083560"/>
                    </a:xfrm>
                    <a:prstGeom prst="rect">
                      <a:avLst/>
                    </a:prstGeom>
                  </pic:spPr>
                </pic:pic>
              </a:graphicData>
            </a:graphic>
          </wp:anchor>
        </w:drawing>
      </w:r>
    </w:p>
    <w:p w14:paraId="37FDE08C" w14:textId="77777777" w:rsidR="00FC5243" w:rsidRDefault="00FC5243" w:rsidP="00FC5243">
      <w:pPr>
        <w:spacing w:line="360" w:lineRule="auto"/>
        <w:ind w:firstLine="709"/>
        <w:jc w:val="both"/>
        <w:rPr>
          <w:rFonts w:ascii="Times New Roman" w:hAnsi="Times New Roman" w:cs="Times New Roman"/>
          <w:sz w:val="28"/>
          <w:szCs w:val="28"/>
        </w:rPr>
      </w:pPr>
    </w:p>
    <w:p w14:paraId="219C2005" w14:textId="77777777" w:rsidR="00FC5243" w:rsidRDefault="00FC5243" w:rsidP="00FC5243">
      <w:pPr>
        <w:spacing w:line="360" w:lineRule="auto"/>
        <w:ind w:firstLine="709"/>
        <w:jc w:val="both"/>
        <w:rPr>
          <w:rFonts w:ascii="Times New Roman" w:hAnsi="Times New Roman" w:cs="Times New Roman"/>
          <w:sz w:val="28"/>
          <w:szCs w:val="28"/>
        </w:rPr>
      </w:pPr>
    </w:p>
    <w:p w14:paraId="7D852C64" w14:textId="77777777" w:rsidR="00FC5243" w:rsidRDefault="00FC5243" w:rsidP="00FC5243">
      <w:pPr>
        <w:spacing w:line="360" w:lineRule="auto"/>
        <w:ind w:firstLine="709"/>
        <w:jc w:val="both"/>
        <w:rPr>
          <w:rFonts w:ascii="Times New Roman" w:hAnsi="Times New Roman" w:cs="Times New Roman"/>
          <w:sz w:val="28"/>
          <w:szCs w:val="28"/>
        </w:rPr>
      </w:pPr>
    </w:p>
    <w:p w14:paraId="7904EA97" w14:textId="77777777" w:rsidR="00FC5243" w:rsidRDefault="00FC5243" w:rsidP="00FC5243">
      <w:pPr>
        <w:spacing w:line="360" w:lineRule="auto"/>
        <w:ind w:firstLine="709"/>
        <w:jc w:val="both"/>
        <w:rPr>
          <w:rFonts w:ascii="Times New Roman" w:hAnsi="Times New Roman" w:cs="Times New Roman"/>
          <w:sz w:val="28"/>
          <w:szCs w:val="28"/>
        </w:rPr>
      </w:pPr>
    </w:p>
    <w:p w14:paraId="4CA8A335" w14:textId="77777777" w:rsidR="00FC5243" w:rsidRDefault="00FC5243" w:rsidP="00FC5243">
      <w:pPr>
        <w:spacing w:line="360" w:lineRule="auto"/>
        <w:ind w:firstLine="709"/>
        <w:jc w:val="both"/>
        <w:rPr>
          <w:rFonts w:ascii="Times New Roman" w:hAnsi="Times New Roman" w:cs="Times New Roman"/>
          <w:sz w:val="28"/>
          <w:szCs w:val="28"/>
        </w:rPr>
      </w:pPr>
    </w:p>
    <w:p w14:paraId="7C8A07EF" w14:textId="77777777" w:rsidR="00FC5243" w:rsidRDefault="00FC5243" w:rsidP="00FC5243">
      <w:pPr>
        <w:spacing w:line="360" w:lineRule="auto"/>
        <w:jc w:val="center"/>
      </w:pPr>
      <w:r>
        <w:rPr>
          <w:rFonts w:ascii="Times New Roman" w:eastAsia="Noto Serif CJK SC" w:hAnsi="Times New Roman" w:cs="Times New Roman"/>
          <w:kern w:val="2"/>
          <w:sz w:val="28"/>
          <w:szCs w:val="28"/>
          <w:lang w:eastAsia="zh-CN" w:bidi="hi-IN"/>
        </w:rPr>
        <w:t>Рис. 3.2. Декомпозиция</w:t>
      </w:r>
      <w:r>
        <w:rPr>
          <w:rFonts w:ascii="Times New Roman" w:hAnsi="Times New Roman" w:cs="Times New Roman"/>
          <w:sz w:val="28"/>
          <w:szCs w:val="28"/>
        </w:rPr>
        <w:t xml:space="preserve"> </w:t>
      </w:r>
      <w:r>
        <w:rPr>
          <w:rFonts w:ascii="Times New Roman" w:eastAsia="Noto Serif CJK SC" w:hAnsi="Times New Roman" w:cs="Times New Roman"/>
          <w:kern w:val="2"/>
          <w:sz w:val="28"/>
          <w:szCs w:val="28"/>
          <w:lang w:eastAsia="zh-CN" w:bidi="hi-IN"/>
        </w:rPr>
        <w:t>прироста</w:t>
      </w:r>
      <w:r>
        <w:rPr>
          <w:rFonts w:ascii="Times New Roman" w:hAnsi="Times New Roman" w:cs="Times New Roman"/>
          <w:sz w:val="28"/>
          <w:szCs w:val="28"/>
        </w:rPr>
        <w:t xml:space="preserve"> ОПЖ при рождении в России в 2005-2019 гг. </w:t>
      </w:r>
      <w:proofErr w:type="gramStart"/>
      <w:r>
        <w:rPr>
          <w:rFonts w:ascii="Times New Roman" w:hAnsi="Times New Roman" w:cs="Times New Roman"/>
          <w:sz w:val="28"/>
          <w:szCs w:val="28"/>
        </w:rPr>
        <w:t>по  укрупненным</w:t>
      </w:r>
      <w:proofErr w:type="gramEnd"/>
      <w:r>
        <w:rPr>
          <w:rFonts w:ascii="Times New Roman" w:hAnsi="Times New Roman" w:cs="Times New Roman"/>
          <w:sz w:val="28"/>
          <w:szCs w:val="28"/>
        </w:rPr>
        <w:t xml:space="preserve"> причинам смерти МКБ-10, лет</w:t>
      </w:r>
    </w:p>
    <w:p w14:paraId="565F5A4D" w14:textId="77777777" w:rsidR="00FC5243" w:rsidRDefault="00FC5243" w:rsidP="00FC5243">
      <w:pPr>
        <w:spacing w:line="360" w:lineRule="auto"/>
        <w:jc w:val="both"/>
      </w:pPr>
      <w:r>
        <w:rPr>
          <w:rFonts w:ascii="Times New Roman" w:hAnsi="Times New Roman" w:cs="Times New Roman"/>
          <w:sz w:val="24"/>
          <w:szCs w:val="24"/>
        </w:rPr>
        <w:t>Источник: расчеты ИНП РАН по данным Российской базы данных по рождаемости и смертности</w:t>
      </w:r>
      <w:r>
        <w:rPr>
          <w:rStyle w:val="aff"/>
          <w:rFonts w:ascii="Times New Roman" w:hAnsi="Times New Roman" w:cs="Times New Roman"/>
          <w:sz w:val="24"/>
          <w:szCs w:val="24"/>
        </w:rPr>
        <w:footnoteReference w:id="9"/>
      </w:r>
    </w:p>
    <w:p w14:paraId="23182D31" w14:textId="77777777" w:rsidR="00FC5243" w:rsidRDefault="00FC5243" w:rsidP="00FC5243">
      <w:pPr>
        <w:spacing w:line="360" w:lineRule="auto"/>
        <w:ind w:firstLine="720"/>
        <w:jc w:val="both"/>
        <w:rPr>
          <w:rFonts w:ascii="Times New Roman" w:hAnsi="Times New Roman" w:cs="Times New Roman"/>
          <w:sz w:val="28"/>
          <w:szCs w:val="28"/>
        </w:rPr>
      </w:pPr>
      <w:r>
        <w:rPr>
          <w:rFonts w:ascii="Times New Roman" w:eastAsia="Noto Serif CJK SC" w:hAnsi="Times New Roman" w:cs="Times New Roman"/>
          <w:kern w:val="2"/>
          <w:sz w:val="28"/>
          <w:szCs w:val="28"/>
          <w:lang w:eastAsia="zh-CN" w:bidi="hi-IN"/>
        </w:rPr>
        <w:t xml:space="preserve">Из таблицы 3.1 видно, что в </w:t>
      </w:r>
      <w:proofErr w:type="gramStart"/>
      <w:r>
        <w:rPr>
          <w:rFonts w:ascii="Times New Roman" w:eastAsia="Noto Serif CJK SC" w:hAnsi="Times New Roman" w:cs="Times New Roman"/>
          <w:kern w:val="2"/>
          <w:sz w:val="28"/>
          <w:szCs w:val="28"/>
          <w:lang w:eastAsia="zh-CN" w:bidi="hi-IN"/>
        </w:rPr>
        <w:t>2005-2019</w:t>
      </w:r>
      <w:proofErr w:type="gramEnd"/>
      <w:r>
        <w:rPr>
          <w:rFonts w:ascii="Times New Roman" w:eastAsia="Noto Serif CJK SC" w:hAnsi="Times New Roman" w:cs="Times New Roman"/>
          <w:kern w:val="2"/>
          <w:sz w:val="28"/>
          <w:szCs w:val="28"/>
          <w:lang w:eastAsia="zh-CN" w:bidi="hi-IN"/>
        </w:rPr>
        <w:t xml:space="preserve"> гг., если рассматривать возрастные группы, основной вклад в рост ОПЖ при рождении у мужчин внесло снижение уровня смертности в трудоспособном возрасте: для возрастной группы 20-59 лет - 5.87 года, в том числе для 40-59 лет – 3.37 года.</w:t>
      </w:r>
    </w:p>
    <w:p w14:paraId="718A75E2" w14:textId="77777777" w:rsidR="00FC5243" w:rsidRDefault="00FC5243" w:rsidP="00FC5243">
      <w:pPr>
        <w:spacing w:line="360" w:lineRule="auto"/>
        <w:ind w:firstLine="720"/>
        <w:jc w:val="both"/>
        <w:rPr>
          <w:rFonts w:ascii="Times New Roman" w:hAnsi="Times New Roman" w:cs="Times New Roman"/>
          <w:sz w:val="28"/>
          <w:szCs w:val="28"/>
        </w:rPr>
      </w:pPr>
      <w:r>
        <w:rPr>
          <w:rFonts w:ascii="Times New Roman" w:eastAsia="Noto Serif CJK SC" w:hAnsi="Times New Roman" w:cs="Times New Roman"/>
          <w:kern w:val="2"/>
          <w:sz w:val="28"/>
          <w:szCs w:val="28"/>
          <w:lang w:eastAsia="zh-CN" w:bidi="hi-IN"/>
        </w:rPr>
        <w:t xml:space="preserve">У женщин снижение возрастных коэффициентов смертности в возрастной группе </w:t>
      </w:r>
      <w:proofErr w:type="gramStart"/>
      <w:r>
        <w:rPr>
          <w:rFonts w:ascii="Times New Roman" w:eastAsia="Noto Serif CJK SC" w:hAnsi="Times New Roman" w:cs="Times New Roman"/>
          <w:kern w:val="2"/>
          <w:sz w:val="28"/>
          <w:szCs w:val="28"/>
          <w:lang w:eastAsia="zh-CN" w:bidi="hi-IN"/>
        </w:rPr>
        <w:t>20-59</w:t>
      </w:r>
      <w:proofErr w:type="gramEnd"/>
      <w:r>
        <w:rPr>
          <w:rFonts w:ascii="Times New Roman" w:eastAsia="Noto Serif CJK SC" w:hAnsi="Times New Roman" w:cs="Times New Roman"/>
          <w:kern w:val="2"/>
          <w:sz w:val="28"/>
          <w:szCs w:val="28"/>
          <w:lang w:eastAsia="zh-CN" w:bidi="hi-IN"/>
        </w:rPr>
        <w:t xml:space="preserve"> лет добавило 2.12 года в ОПЖ при рождении, при этом вклад пожилых возрастов – 60 лет и старше - был даже выше и составил 3.01 года.</w:t>
      </w:r>
    </w:p>
    <w:p w14:paraId="0E3E846B"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0F6AC854"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0E93EE9F"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5C3614C3"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21C7763A"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7C0F4C6F"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71F43575"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40B3C283" w14:textId="77777777" w:rsidR="00FC5243" w:rsidRDefault="00FC5243" w:rsidP="00FC5243">
      <w:pPr>
        <w:spacing w:line="360" w:lineRule="auto"/>
        <w:jc w:val="center"/>
        <w:rPr>
          <w:rFonts w:ascii="Times New Roman" w:eastAsia="Noto Serif CJK SC" w:hAnsi="Times New Roman" w:cs="Times New Roman"/>
          <w:kern w:val="2"/>
          <w:sz w:val="28"/>
          <w:szCs w:val="28"/>
          <w:lang w:eastAsia="zh-CN" w:bidi="hi-IN"/>
        </w:rPr>
      </w:pPr>
    </w:p>
    <w:p w14:paraId="67D94B12" w14:textId="77777777" w:rsidR="00FC5243" w:rsidRDefault="00FC5243" w:rsidP="00FC5243">
      <w:pPr>
        <w:spacing w:line="360" w:lineRule="auto"/>
        <w:jc w:val="center"/>
        <w:rPr>
          <w:sz w:val="28"/>
          <w:szCs w:val="28"/>
        </w:rPr>
      </w:pPr>
      <w:r>
        <w:rPr>
          <w:rFonts w:ascii="Times New Roman" w:eastAsia="Noto Serif CJK SC" w:hAnsi="Times New Roman" w:cs="Times New Roman"/>
          <w:kern w:val="2"/>
          <w:sz w:val="28"/>
          <w:szCs w:val="28"/>
          <w:lang w:eastAsia="zh-CN" w:bidi="hi-IN"/>
        </w:rPr>
        <w:t xml:space="preserve">Таблица 3.1. Декомпозиция прироста ОПЖ при рождении в России в </w:t>
      </w:r>
      <w:proofErr w:type="gramStart"/>
      <w:r>
        <w:rPr>
          <w:rFonts w:ascii="Times New Roman" w:eastAsia="Noto Serif CJK SC" w:hAnsi="Times New Roman" w:cs="Times New Roman"/>
          <w:kern w:val="2"/>
          <w:sz w:val="28"/>
          <w:szCs w:val="28"/>
          <w:lang w:eastAsia="zh-CN" w:bidi="hi-IN"/>
        </w:rPr>
        <w:t>2005-</w:t>
      </w:r>
      <w:r>
        <w:rPr>
          <w:rFonts w:ascii="Times New Roman" w:hAnsi="Times New Roman"/>
          <w:sz w:val="28"/>
          <w:szCs w:val="28"/>
        </w:rPr>
        <w:t>2019</w:t>
      </w:r>
      <w:proofErr w:type="gramEnd"/>
      <w:r>
        <w:rPr>
          <w:rFonts w:ascii="Times New Roman" w:hAnsi="Times New Roman"/>
          <w:sz w:val="28"/>
          <w:szCs w:val="28"/>
        </w:rPr>
        <w:t xml:space="preserve"> гг. в разрезе укрупненных причин смерти МКБ-10 и возрастных групп, лет</w:t>
      </w:r>
    </w:p>
    <w:p w14:paraId="002E9381" w14:textId="77777777" w:rsidR="00D86D14" w:rsidRDefault="006E5EF3" w:rsidP="00D86D14">
      <w:pPr>
        <w:spacing w:line="360" w:lineRule="auto"/>
        <w:jc w:val="center"/>
      </w:pPr>
      <w:r>
        <w:rPr>
          <w:lang w:val="en-US" w:eastAsia="zh-CN" w:bidi="hi-IN"/>
        </w:rPr>
        <w:object w:dxaOrig="1440" w:dyaOrig="1440" w14:anchorId="6150CF89">
          <v:shape id="ole_rId4" o:spid="_x0000_s1026" style="position:absolute;left:0;text-align:left;margin-left:16.05pt;margin-top:0;width:493.05pt;height:336.65pt;z-index:251665408;mso-position-horizontal-relative:text;mso-position-vertical-relative:text" coordsize="" o:spt="100" adj="0,,0" path="">
            <v:stroke joinstyle="round"/>
            <v:imagedata r:id="rId13" o:title=""/>
            <v:formulas/>
            <v:path o:connecttype="segments"/>
            <w10:wrap type="square"/>
          </v:shape>
          <o:OLEObject Type="Embed" ProgID="Excel.Sheet.12" ShapeID="ole_rId4" DrawAspect="Content" ObjectID="_1678196620" r:id="rId14"/>
        </w:object>
      </w:r>
      <w:r w:rsidR="00D86D14">
        <w:rPr>
          <w:rFonts w:ascii="Times New Roman" w:hAnsi="Times New Roman"/>
          <w:sz w:val="24"/>
          <w:szCs w:val="24"/>
        </w:rPr>
        <w:t xml:space="preserve">Источник: расчеты ИНП РАН по данным Российской базы данных по рождаемости и смертности </w:t>
      </w:r>
    </w:p>
    <w:p w14:paraId="1A654DF8" w14:textId="77777777" w:rsidR="00FC5243" w:rsidRDefault="00FC5243" w:rsidP="00FC5243">
      <w:pPr>
        <w:spacing w:line="360" w:lineRule="auto"/>
        <w:ind w:right="91" w:firstLine="709"/>
        <w:jc w:val="both"/>
      </w:pPr>
      <w:r>
        <w:rPr>
          <w:rFonts w:ascii="Times New Roman" w:hAnsi="Times New Roman"/>
          <w:i/>
          <w:iCs/>
          <w:sz w:val="28"/>
          <w:szCs w:val="28"/>
        </w:rPr>
        <w:t>Демографическая нагрузка на экономику</w:t>
      </w:r>
      <w:r>
        <w:rPr>
          <w:rFonts w:ascii="Times New Roman" w:hAnsi="Times New Roman"/>
          <w:sz w:val="28"/>
          <w:szCs w:val="28"/>
        </w:rPr>
        <w:t xml:space="preserve">. </w:t>
      </w:r>
      <w:r>
        <w:rPr>
          <w:rFonts w:ascii="Times New Roman" w:eastAsia="Noto Serif CJK SC" w:hAnsi="Times New Roman" w:cs="Lohit Devanagari"/>
          <w:kern w:val="2"/>
          <w:sz w:val="28"/>
          <w:szCs w:val="28"/>
          <w:lang w:eastAsia="zh-CN" w:bidi="hi-IN"/>
        </w:rPr>
        <w:t>При анализе неизбежных демографических изменений часто обращается внимание на прогнозируемое соотношение численности пожилого населения и населения трудоспособных возрастов – традиционный коэффициент демографической нагрузки пожилым населением. Исходя из того, что в средне- и долгосрочной перспективе это соотношение вырастет, причем значительно, по сравнению с текущем уровнем, делается вывод о том, что демографическая нагрузка на экономику становится чуть ли не основным ограничением ее роста. В свою очередь, необходимостью избежать такого торможения обосновывается необходимость повышения пенсионного возраста, стимулирования иностранной трудовой миграции и другие меры – все это неизбежно затрагивает социальную сферу.</w:t>
      </w:r>
    </w:p>
    <w:p w14:paraId="3B6CE029" w14:textId="77777777" w:rsidR="00FC5243" w:rsidRDefault="00FC5243" w:rsidP="00FC5243">
      <w:pPr>
        <w:spacing w:line="360" w:lineRule="auto"/>
        <w:ind w:right="91" w:firstLine="709"/>
        <w:jc w:val="both"/>
      </w:pPr>
      <w:r>
        <w:rPr>
          <w:rFonts w:ascii="Times New Roman" w:eastAsia="Noto Serif CJK SC" w:hAnsi="Times New Roman" w:cs="Lohit Devanagari"/>
          <w:kern w:val="2"/>
          <w:sz w:val="28"/>
          <w:szCs w:val="28"/>
          <w:lang w:eastAsia="zh-CN" w:bidi="hi-IN"/>
        </w:rPr>
        <w:t>Подробное рассмотрение этого вопроса можно найти в монографии ИНП РАН, посвященной трансформации структуры российской экономики</w:t>
      </w:r>
      <w:r>
        <w:rPr>
          <w:rStyle w:val="aff"/>
          <w:rFonts w:ascii="Times New Roman" w:eastAsia="Noto Serif CJK SC" w:hAnsi="Times New Roman" w:cs="Lohit Devanagari"/>
          <w:kern w:val="2"/>
          <w:sz w:val="28"/>
          <w:szCs w:val="28"/>
          <w:lang w:eastAsia="zh-CN" w:bidi="hi-IN"/>
        </w:rPr>
        <w:footnoteReference w:id="10"/>
      </w:r>
      <w:r>
        <w:rPr>
          <w:rFonts w:ascii="Times New Roman" w:eastAsia="Noto Serif CJK SC" w:hAnsi="Times New Roman" w:cs="Lohit Devanagari"/>
          <w:kern w:val="2"/>
          <w:sz w:val="28"/>
          <w:szCs w:val="28"/>
          <w:lang w:eastAsia="zh-CN" w:bidi="hi-IN"/>
        </w:rPr>
        <w:t>, здесь же просто перечислим основные недостатки описанного выше подхода:</w:t>
      </w:r>
    </w:p>
    <w:p w14:paraId="5AE06028" w14:textId="77777777" w:rsidR="00FC5243" w:rsidRDefault="00FC5243" w:rsidP="00FC5243">
      <w:pPr>
        <w:numPr>
          <w:ilvl w:val="0"/>
          <w:numId w:val="34"/>
        </w:numPr>
        <w:suppressAutoHyphens/>
        <w:spacing w:after="0" w:line="360" w:lineRule="auto"/>
        <w:ind w:right="91" w:firstLine="709"/>
        <w:jc w:val="both"/>
      </w:pPr>
      <w:r>
        <w:rPr>
          <w:rFonts w:ascii="Times New Roman" w:eastAsia="Noto Serif CJK SC" w:hAnsi="Times New Roman" w:cs="Lohit Devanagari"/>
          <w:kern w:val="2"/>
          <w:sz w:val="28"/>
          <w:szCs w:val="28"/>
          <w:lang w:eastAsia="zh-CN" w:bidi="hi-IN"/>
        </w:rPr>
        <w:t>рассмотрение коэффициента демографической нагрузки на экономику только со стороны пожилого населения (корректнее – общая нагрузка, и она будет расти не столь значительно, так как нагрузка молодежью снизится);</w:t>
      </w:r>
    </w:p>
    <w:p w14:paraId="6CD5C182" w14:textId="77777777" w:rsidR="00FC5243" w:rsidRDefault="00FC5243" w:rsidP="00FC5243">
      <w:pPr>
        <w:numPr>
          <w:ilvl w:val="0"/>
          <w:numId w:val="34"/>
        </w:numPr>
        <w:suppressAutoHyphens/>
        <w:spacing w:after="0" w:line="360" w:lineRule="auto"/>
        <w:ind w:right="91" w:firstLine="709"/>
        <w:jc w:val="both"/>
      </w:pPr>
      <w:r>
        <w:rPr>
          <w:rFonts w:ascii="Times New Roman" w:eastAsia="Noto Serif CJK SC" w:hAnsi="Times New Roman" w:cs="Lohit Devanagari"/>
          <w:kern w:val="2"/>
          <w:sz w:val="28"/>
          <w:szCs w:val="28"/>
          <w:lang w:eastAsia="zh-CN" w:bidi="hi-IN"/>
        </w:rPr>
        <w:t>сопоставление прогнозных значений коэффициентов демографической нагрузки только с текущими значениями, без учета ретроспективы (а иначе было бы видно, что в 1960-е и 1980-е гг. страна уже сталкивалась со значительным ростом общего коэффициента демографической нагрузки);</w:t>
      </w:r>
    </w:p>
    <w:p w14:paraId="5F6D9667" w14:textId="77777777" w:rsidR="00FC5243" w:rsidRDefault="00FC5243" w:rsidP="00FC5243">
      <w:pPr>
        <w:numPr>
          <w:ilvl w:val="0"/>
          <w:numId w:val="34"/>
        </w:numPr>
        <w:suppressAutoHyphens/>
        <w:spacing w:after="0" w:line="360" w:lineRule="auto"/>
        <w:ind w:right="91" w:firstLine="709"/>
        <w:jc w:val="both"/>
      </w:pPr>
      <w:r>
        <w:rPr>
          <w:rFonts w:ascii="Times New Roman" w:eastAsia="Noto Serif CJK SC" w:hAnsi="Times New Roman" w:cs="Lohit Devanagari"/>
          <w:kern w:val="2"/>
          <w:sz w:val="28"/>
          <w:szCs w:val="28"/>
          <w:lang w:eastAsia="zh-CN" w:bidi="hi-IN"/>
        </w:rPr>
        <w:t>неоднозначность в определении границ трудоспособного возраста;</w:t>
      </w:r>
    </w:p>
    <w:p w14:paraId="0A2FE921" w14:textId="77777777" w:rsidR="00FC5243" w:rsidRPr="00FC5243" w:rsidRDefault="00FC5243" w:rsidP="00FC5243">
      <w:pPr>
        <w:numPr>
          <w:ilvl w:val="0"/>
          <w:numId w:val="34"/>
        </w:numPr>
        <w:suppressAutoHyphens/>
        <w:spacing w:after="0" w:line="360" w:lineRule="auto"/>
        <w:ind w:right="91" w:firstLine="709"/>
        <w:jc w:val="both"/>
      </w:pPr>
      <w:r>
        <w:rPr>
          <w:rFonts w:ascii="Times New Roman" w:eastAsia="Noto Serif CJK SC" w:hAnsi="Times New Roman" w:cs="Lohit Devanagari"/>
          <w:kern w:val="2"/>
          <w:sz w:val="28"/>
          <w:szCs w:val="28"/>
          <w:lang w:eastAsia="zh-CN" w:bidi="hi-IN"/>
        </w:rPr>
        <w:t xml:space="preserve">игнорированием занятого населения нетрудоспособных </w:t>
      </w:r>
      <w:r w:rsidRPr="00FC5243">
        <w:rPr>
          <w:rFonts w:ascii="Times New Roman" w:eastAsia="Noto Serif CJK SC" w:hAnsi="Times New Roman" w:cs="Lohit Devanagari"/>
          <w:kern w:val="2"/>
          <w:sz w:val="28"/>
          <w:szCs w:val="28"/>
          <w:lang w:eastAsia="zh-CN" w:bidi="hi-IN"/>
        </w:rPr>
        <w:t>возрастов и незанятого населения трудоспособного возраста.</w:t>
      </w:r>
    </w:p>
    <w:p w14:paraId="6B0F4631" w14:textId="77777777" w:rsidR="00FC5243" w:rsidRDefault="00FC5243" w:rsidP="00FC5243">
      <w:pPr>
        <w:spacing w:line="360" w:lineRule="auto"/>
        <w:ind w:right="91" w:firstLine="709"/>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Чтобы учесть перечисленные недостатки, для определения уровня демографической нагрузки на экономику предлагается использовать э</w:t>
      </w:r>
      <w:r w:rsidRPr="00FC5243">
        <w:rPr>
          <w:rFonts w:ascii="Times New Roman" w:eastAsia="Noto Serif CJK SC" w:hAnsi="Times New Roman" w:cs="Lohit Devanagari"/>
          <w:i/>
          <w:iCs/>
          <w:kern w:val="2"/>
          <w:sz w:val="28"/>
          <w:szCs w:val="28"/>
          <w:lang w:eastAsia="zh-CN" w:bidi="hi-IN"/>
        </w:rPr>
        <w:t>ффективные коэффициенты демографической нагрузки</w:t>
      </w:r>
      <w:r w:rsidRPr="00FC5243">
        <w:rPr>
          <w:rFonts w:ascii="Times New Roman" w:eastAsia="Noto Serif CJK SC" w:hAnsi="Times New Roman" w:cs="Lohit Devanagari"/>
          <w:kern w:val="2"/>
          <w:sz w:val="28"/>
          <w:szCs w:val="28"/>
          <w:lang w:eastAsia="zh-CN" w:bidi="hi-IN"/>
        </w:rPr>
        <w:t xml:space="preserve">, определяемые как соотношение численности </w:t>
      </w:r>
      <w:proofErr w:type="spellStart"/>
      <w:r w:rsidRPr="00FC5243">
        <w:rPr>
          <w:rFonts w:ascii="Times New Roman" w:eastAsia="Noto Serif CJK SC" w:hAnsi="Times New Roman" w:cs="Lohit Devanagari"/>
          <w:kern w:val="2"/>
          <w:sz w:val="28"/>
          <w:szCs w:val="28"/>
          <w:lang w:eastAsia="zh-CN" w:bidi="hi-IN"/>
        </w:rPr>
        <w:t>депендантов</w:t>
      </w:r>
      <w:proofErr w:type="spellEnd"/>
      <w:r w:rsidRPr="00FC5243">
        <w:rPr>
          <w:rFonts w:ascii="Times New Roman" w:eastAsia="Noto Serif CJK SC" w:hAnsi="Times New Roman" w:cs="Lohit Devanagari"/>
          <w:kern w:val="2"/>
          <w:sz w:val="28"/>
          <w:szCs w:val="28"/>
          <w:lang w:eastAsia="zh-CN" w:bidi="hi-IN"/>
        </w:rPr>
        <w:t xml:space="preserve"> и занятых (число </w:t>
      </w:r>
      <w:proofErr w:type="spellStart"/>
      <w:r w:rsidRPr="00FC5243">
        <w:rPr>
          <w:rFonts w:ascii="Times New Roman" w:eastAsia="Noto Serif CJK SC" w:hAnsi="Times New Roman" w:cs="Lohit Devanagari"/>
          <w:kern w:val="2"/>
          <w:sz w:val="28"/>
          <w:szCs w:val="28"/>
          <w:lang w:eastAsia="zh-CN" w:bidi="hi-IN"/>
        </w:rPr>
        <w:t>депендантов</w:t>
      </w:r>
      <w:proofErr w:type="spellEnd"/>
      <w:r w:rsidRPr="00FC5243">
        <w:rPr>
          <w:rFonts w:ascii="Times New Roman" w:eastAsia="Noto Serif CJK SC" w:hAnsi="Times New Roman" w:cs="Lohit Devanagari"/>
          <w:kern w:val="2"/>
          <w:sz w:val="28"/>
          <w:szCs w:val="28"/>
          <w:lang w:eastAsia="zh-CN" w:bidi="hi-IN"/>
        </w:rPr>
        <w:t xml:space="preserve"> рассчитывается как разность между совокупной численностью населения страны и численностью занятых в экономике).</w:t>
      </w:r>
    </w:p>
    <w:p w14:paraId="4404B046" w14:textId="77777777" w:rsidR="00FC5243" w:rsidRDefault="00FC5243" w:rsidP="00FC5243">
      <w:pPr>
        <w:spacing w:line="360" w:lineRule="auto"/>
        <w:ind w:firstLine="709"/>
        <w:jc w:val="both"/>
      </w:pPr>
      <w:r>
        <w:rPr>
          <w:rFonts w:ascii="Times New Roman" w:eastAsia="Noto Serif CJK SC" w:hAnsi="Times New Roman" w:cs="Lohit Devanagari"/>
          <w:kern w:val="2"/>
          <w:sz w:val="28"/>
          <w:szCs w:val="28"/>
          <w:lang w:eastAsia="zh-CN" w:bidi="hi-IN"/>
        </w:rPr>
        <w:t>На рис. 3.3 представлены результаты оценки демографической нагрузки на экономику до 2050 г. в рамках базового демографического сценария и сохранения на всем прогнозном интервале текущих половозрастных уровней участия в рабочей силе и безработице (отметим, что эти результаты показывают очень высокую устойчивость к изменению демографических сценариев)</w:t>
      </w:r>
      <w:r>
        <w:rPr>
          <w:rFonts w:ascii="Times New Roman" w:hAnsi="Times New Roman"/>
          <w:sz w:val="28"/>
          <w:szCs w:val="28"/>
        </w:rPr>
        <w:t xml:space="preserve">. При сделанных предположениях общий эффективный коэффициент демографической нагрузки, равный </w:t>
      </w:r>
      <w:r>
        <w:rPr>
          <w:rFonts w:ascii="Times New Roman" w:eastAsia="Noto Serif CJK SC" w:hAnsi="Times New Roman" w:cs="Lohit Devanagari"/>
          <w:kern w:val="2"/>
          <w:sz w:val="28"/>
          <w:szCs w:val="28"/>
          <w:lang w:eastAsia="zh-CN" w:bidi="hi-IN"/>
        </w:rPr>
        <w:t>107.5</w:t>
      </w:r>
      <w:r>
        <w:rPr>
          <w:rFonts w:ascii="Times New Roman" w:hAnsi="Times New Roman"/>
          <w:sz w:val="28"/>
          <w:szCs w:val="28"/>
        </w:rPr>
        <w:t xml:space="preserve">% в 2020 г., возрастет до </w:t>
      </w:r>
      <w:r>
        <w:rPr>
          <w:rFonts w:ascii="Times New Roman" w:eastAsia="Noto Serif CJK SC" w:hAnsi="Times New Roman" w:cs="Lohit Devanagari"/>
          <w:kern w:val="2"/>
          <w:sz w:val="28"/>
          <w:szCs w:val="28"/>
          <w:lang w:eastAsia="zh-CN" w:bidi="hi-IN"/>
        </w:rPr>
        <w:t>126</w:t>
      </w:r>
      <w:r>
        <w:rPr>
          <w:rFonts w:ascii="Times New Roman" w:hAnsi="Times New Roman"/>
          <w:sz w:val="28"/>
          <w:szCs w:val="28"/>
        </w:rPr>
        <w:t xml:space="preserve">% к 2030 г., будет находиться приблизительно на этом уровне до начала 2040-х годов, после чего снова начнет расти и достигнет 147% </w:t>
      </w:r>
      <w:r>
        <w:rPr>
          <w:rFonts w:ascii="Times New Roman" w:eastAsia="Noto Serif CJK SC" w:hAnsi="Times New Roman" w:cs="Lohit Devanagari"/>
          <w:kern w:val="2"/>
          <w:sz w:val="28"/>
          <w:szCs w:val="28"/>
          <w:lang w:eastAsia="zh-CN" w:bidi="hi-IN"/>
        </w:rPr>
        <w:t>к</w:t>
      </w:r>
      <w:r>
        <w:rPr>
          <w:rFonts w:ascii="Times New Roman" w:hAnsi="Times New Roman"/>
          <w:sz w:val="28"/>
          <w:szCs w:val="28"/>
        </w:rPr>
        <w:t xml:space="preserve"> 2050 г.</w:t>
      </w:r>
    </w:p>
    <w:p w14:paraId="02EB4B9E" w14:textId="77777777" w:rsidR="00FC5243" w:rsidRPr="00FC5243" w:rsidRDefault="00FC5243" w:rsidP="00FC5243">
      <w:pPr>
        <w:spacing w:line="360" w:lineRule="auto"/>
        <w:ind w:firstLine="709"/>
        <w:jc w:val="both"/>
      </w:pPr>
      <w:r>
        <w:rPr>
          <w:rFonts w:ascii="Times New Roman" w:hAnsi="Times New Roman"/>
          <w:sz w:val="28"/>
          <w:szCs w:val="28"/>
        </w:rPr>
        <w:t xml:space="preserve">Таким образом, уровень демографической нагрузки на экономику, зафиксированный в 2000 г., будет превзойден только в </w:t>
      </w:r>
      <w:r>
        <w:rPr>
          <w:rFonts w:ascii="Times New Roman" w:eastAsia="Noto Serif CJK SC" w:hAnsi="Times New Roman" w:cs="Lohit Devanagari"/>
          <w:kern w:val="2"/>
          <w:sz w:val="28"/>
          <w:szCs w:val="28"/>
          <w:lang w:eastAsia="zh-CN" w:bidi="hi-IN"/>
        </w:rPr>
        <w:t>конце 2020-х гг.</w:t>
      </w:r>
      <w:r>
        <w:rPr>
          <w:rFonts w:ascii="Times New Roman" w:hAnsi="Times New Roman"/>
          <w:sz w:val="28"/>
          <w:szCs w:val="28"/>
        </w:rPr>
        <w:t>, а наблюдавшийся в 1999 г. – в 204</w:t>
      </w:r>
      <w:r>
        <w:rPr>
          <w:rFonts w:ascii="Times New Roman" w:eastAsia="Noto Serif CJK SC" w:hAnsi="Times New Roman" w:cs="Lohit Devanagari"/>
          <w:kern w:val="2"/>
          <w:sz w:val="28"/>
          <w:szCs w:val="28"/>
          <w:lang w:eastAsia="zh-CN" w:bidi="hi-IN"/>
        </w:rPr>
        <w:t>0-е</w:t>
      </w:r>
      <w:r>
        <w:rPr>
          <w:rFonts w:ascii="Times New Roman" w:hAnsi="Times New Roman"/>
          <w:sz w:val="28"/>
          <w:szCs w:val="28"/>
        </w:rPr>
        <w:t xml:space="preserve"> гг. </w:t>
      </w:r>
      <w:r>
        <w:rPr>
          <w:rFonts w:ascii="Times New Roman" w:eastAsia="Noto Serif CJK SC" w:hAnsi="Times New Roman" w:cs="Lohit Devanagari"/>
          <w:kern w:val="2"/>
          <w:sz w:val="28"/>
          <w:szCs w:val="28"/>
          <w:lang w:eastAsia="zh-CN" w:bidi="hi-IN"/>
        </w:rPr>
        <w:t xml:space="preserve">Отметим при этом, что </w:t>
      </w:r>
      <w:r>
        <w:rPr>
          <w:rFonts w:ascii="Times New Roman" w:hAnsi="Times New Roman"/>
          <w:sz w:val="28"/>
          <w:szCs w:val="28"/>
        </w:rPr>
        <w:t xml:space="preserve">высокая </w:t>
      </w:r>
      <w:r w:rsidRPr="00FC5243">
        <w:rPr>
          <w:rFonts w:ascii="Times New Roman" w:hAnsi="Times New Roman"/>
          <w:sz w:val="28"/>
          <w:szCs w:val="28"/>
        </w:rPr>
        <w:t xml:space="preserve">относительно текущего уровня демографическая нагрузка не помешала экономике </w:t>
      </w:r>
      <w:r w:rsidRPr="00FC5243">
        <w:rPr>
          <w:rFonts w:ascii="Times New Roman" w:eastAsia="Noto Serif CJK SC" w:hAnsi="Times New Roman" w:cs="Lohit Devanagari"/>
          <w:kern w:val="2"/>
          <w:sz w:val="28"/>
          <w:szCs w:val="28"/>
          <w:lang w:eastAsia="zh-CN" w:bidi="hi-IN"/>
        </w:rPr>
        <w:t>успешно развиваться</w:t>
      </w:r>
      <w:r w:rsidRPr="00FC5243">
        <w:rPr>
          <w:rFonts w:ascii="Times New Roman" w:hAnsi="Times New Roman"/>
          <w:sz w:val="28"/>
          <w:szCs w:val="28"/>
        </w:rPr>
        <w:t xml:space="preserve"> в 2000-е гг.</w:t>
      </w:r>
    </w:p>
    <w:p w14:paraId="17C0AC3D" w14:textId="77777777" w:rsidR="00FC5243" w:rsidRDefault="00FC5243" w:rsidP="00FC5243">
      <w:pPr>
        <w:spacing w:line="360" w:lineRule="auto"/>
        <w:ind w:firstLine="720"/>
        <w:jc w:val="both"/>
        <w:rPr>
          <w:rFonts w:ascii="Times New Roman" w:eastAsia="Noto Serif CJK SC" w:hAnsi="Times New Roman" w:cs="Lohit Devanagari"/>
          <w:kern w:val="2"/>
          <w:sz w:val="28"/>
          <w:szCs w:val="28"/>
          <w:lang w:eastAsia="zh-CN" w:bidi="hi-IN"/>
        </w:rPr>
      </w:pPr>
      <w:r w:rsidRPr="00FC5243">
        <w:rPr>
          <w:rFonts w:ascii="Times New Roman" w:eastAsia="Noto Serif CJK SC" w:hAnsi="Times New Roman" w:cs="Lohit Devanagari"/>
          <w:kern w:val="2"/>
          <w:sz w:val="28"/>
          <w:szCs w:val="28"/>
          <w:lang w:eastAsia="zh-CN" w:bidi="hi-IN"/>
        </w:rPr>
        <w:t xml:space="preserve">Однако важен не только </w:t>
      </w:r>
      <w:r w:rsidRPr="00FC5243">
        <w:rPr>
          <w:rFonts w:ascii="Times New Roman" w:hAnsi="Times New Roman"/>
          <w:sz w:val="28"/>
          <w:szCs w:val="28"/>
        </w:rPr>
        <w:t xml:space="preserve">рост уровня демографической нагрузки на экономику, но и структура этой нагрузки. На рис. 3.3 для корректности сопоставлений к молодым </w:t>
      </w:r>
      <w:proofErr w:type="spellStart"/>
      <w:r w:rsidRPr="00FC5243">
        <w:rPr>
          <w:rFonts w:ascii="Times New Roman" w:hAnsi="Times New Roman"/>
          <w:sz w:val="28"/>
          <w:szCs w:val="28"/>
        </w:rPr>
        <w:t>депендантам</w:t>
      </w:r>
      <w:proofErr w:type="spellEnd"/>
      <w:r w:rsidRPr="00FC5243">
        <w:rPr>
          <w:rFonts w:ascii="Times New Roman" w:hAnsi="Times New Roman"/>
          <w:sz w:val="28"/>
          <w:szCs w:val="28"/>
        </w:rPr>
        <w:t xml:space="preserve"> отнесено неработающее население в возрасте </w:t>
      </w:r>
      <w:proofErr w:type="gramStart"/>
      <w:r w:rsidRPr="00FC5243">
        <w:rPr>
          <w:rFonts w:ascii="Times New Roman" w:hAnsi="Times New Roman"/>
          <w:sz w:val="28"/>
          <w:szCs w:val="28"/>
        </w:rPr>
        <w:t>0-19</w:t>
      </w:r>
      <w:proofErr w:type="gramEnd"/>
      <w:r w:rsidRPr="00FC5243">
        <w:rPr>
          <w:rFonts w:ascii="Times New Roman" w:hAnsi="Times New Roman"/>
          <w:sz w:val="28"/>
          <w:szCs w:val="28"/>
        </w:rPr>
        <w:t xml:space="preserve"> лет, к пожилым – неработающие мужчины/женщины в возрасте 60/55 лет и старше. Если даже сейчас демографическая</w:t>
      </w:r>
      <w:r w:rsidRPr="00FC5243">
        <w:rPr>
          <w:rFonts w:ascii="Times New Roman" w:eastAsia="Noto Serif CJK SC" w:hAnsi="Times New Roman" w:cs="Lohit Devanagari"/>
          <w:kern w:val="2"/>
          <w:sz w:val="28"/>
          <w:szCs w:val="28"/>
          <w:lang w:eastAsia="zh-CN" w:bidi="hi-IN"/>
        </w:rPr>
        <w:t xml:space="preserve"> нагрузка на экономику со стороны молодежи все еще выше, чем нагрузка со стороны пожилых, то во второй половине 2020-х гг. ситуация</w:t>
      </w:r>
      <w:r>
        <w:rPr>
          <w:rFonts w:ascii="Times New Roman" w:eastAsia="Noto Serif CJK SC" w:hAnsi="Times New Roman" w:cs="Lohit Devanagari"/>
          <w:kern w:val="2"/>
          <w:sz w:val="28"/>
          <w:szCs w:val="28"/>
          <w:lang w:eastAsia="zh-CN" w:bidi="hi-IN"/>
        </w:rPr>
        <w:t xml:space="preserve"> впервые изменится, после чего разрыв между ними будет только возрастать. И это может стать вызовом для страны, который потребует модификации сложившейся перераспределительной системы.</w:t>
      </w:r>
    </w:p>
    <w:p w14:paraId="559C70B6" w14:textId="77777777" w:rsidR="00FC5243" w:rsidRDefault="00FC5243" w:rsidP="00FC5243">
      <w:pPr>
        <w:spacing w:line="360" w:lineRule="auto"/>
        <w:ind w:firstLine="567"/>
        <w:jc w:val="center"/>
        <w:rPr>
          <w:rFonts w:ascii="Times New Roman" w:hAnsi="Times New Roman"/>
          <w:b/>
        </w:rPr>
      </w:pPr>
      <w:r>
        <w:rPr>
          <w:noProof/>
          <w:lang w:eastAsia="ru-RU"/>
        </w:rPr>
        <w:drawing>
          <wp:inline distT="0" distB="0" distL="0" distR="0" wp14:anchorId="527C34BD" wp14:editId="02001BAB">
            <wp:extent cx="4778375" cy="2385695"/>
            <wp:effectExtent l="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5"/>
                    <a:stretch>
                      <a:fillRect/>
                    </a:stretch>
                  </pic:blipFill>
                  <pic:spPr bwMode="auto">
                    <a:xfrm>
                      <a:off x="0" y="0"/>
                      <a:ext cx="4778375" cy="2385695"/>
                    </a:xfrm>
                    <a:prstGeom prst="rect">
                      <a:avLst/>
                    </a:prstGeom>
                  </pic:spPr>
                </pic:pic>
              </a:graphicData>
            </a:graphic>
          </wp:inline>
        </w:drawing>
      </w:r>
    </w:p>
    <w:p w14:paraId="6D9CCAB5" w14:textId="77777777" w:rsidR="00FC5243" w:rsidRDefault="00FC5243" w:rsidP="00FC5243">
      <w:pPr>
        <w:spacing w:line="360" w:lineRule="auto"/>
        <w:jc w:val="center"/>
      </w:pPr>
      <w:r>
        <w:rPr>
          <w:rFonts w:ascii="Times New Roman" w:eastAsia="Noto Serif CJK SC" w:hAnsi="Times New Roman" w:cs="Lohit Devanagari"/>
          <w:kern w:val="2"/>
          <w:sz w:val="28"/>
          <w:szCs w:val="28"/>
          <w:lang w:eastAsia="zh-CN" w:bidi="hi-IN"/>
        </w:rPr>
        <w:t>Рис. 3.3.  Эффективные</w:t>
      </w:r>
      <w:r>
        <w:rPr>
          <w:rFonts w:ascii="Times New Roman" w:hAnsi="Times New Roman"/>
          <w:sz w:val="28"/>
          <w:szCs w:val="28"/>
        </w:rPr>
        <w:t xml:space="preserve"> коэффициенты демографической нагрузки на экономику России, %</w:t>
      </w:r>
    </w:p>
    <w:p w14:paraId="331984BB" w14:textId="77777777" w:rsidR="00FC5243" w:rsidRDefault="00FC5243" w:rsidP="00FC5243">
      <w:pPr>
        <w:spacing w:line="360" w:lineRule="auto"/>
      </w:pPr>
      <w:r>
        <w:rPr>
          <w:rFonts w:ascii="Times New Roman" w:hAnsi="Times New Roman"/>
          <w:sz w:val="24"/>
          <w:szCs w:val="24"/>
        </w:rPr>
        <w:t>Источник: отчетный период – расчеты ИНП РАН по данным Росстата, прогноз – расчеты ИНП РАН</w:t>
      </w:r>
    </w:p>
    <w:p w14:paraId="7505C0E3" w14:textId="77777777" w:rsidR="00FC5243" w:rsidRDefault="00FC5243" w:rsidP="00FC5243">
      <w:pPr>
        <w:spacing w:line="360" w:lineRule="auto"/>
        <w:jc w:val="both"/>
      </w:pPr>
    </w:p>
    <w:p w14:paraId="78C5C530" w14:textId="77777777" w:rsidR="00FC5243" w:rsidRPr="00FC5243" w:rsidRDefault="00FC5243" w:rsidP="00FC5243">
      <w:pPr>
        <w:spacing w:line="360" w:lineRule="auto"/>
        <w:ind w:firstLine="720"/>
        <w:jc w:val="both"/>
        <w:rPr>
          <w:rFonts w:ascii="Times New Roman" w:hAnsi="Times New Roman"/>
          <w:sz w:val="28"/>
          <w:szCs w:val="28"/>
        </w:rPr>
      </w:pPr>
      <w:r>
        <w:rPr>
          <w:rFonts w:ascii="Times New Roman" w:eastAsia="Noto Serif CJK SC" w:hAnsi="Times New Roman" w:cs="Lohit Devanagari"/>
          <w:kern w:val="2"/>
          <w:sz w:val="28"/>
          <w:szCs w:val="28"/>
          <w:lang w:eastAsia="zh-CN" w:bidi="hi-IN"/>
        </w:rPr>
        <w:t xml:space="preserve">Кроме того, в рассуждения необходимо добавить фактор </w:t>
      </w:r>
      <w:r w:rsidRPr="00FC5243">
        <w:rPr>
          <w:rFonts w:ascii="Times New Roman" w:eastAsia="Noto Serif CJK SC" w:hAnsi="Times New Roman" w:cs="Lohit Devanagari"/>
          <w:kern w:val="2"/>
          <w:sz w:val="28"/>
          <w:szCs w:val="28"/>
          <w:lang w:eastAsia="zh-CN" w:bidi="hi-IN"/>
        </w:rPr>
        <w:t xml:space="preserve">производительности труда: один и тот же уровень демографической нагрузки может по-разному влиять на состояние экономики при разных уровнях производительности. Меньшая производительность труда при одинаковом уровне демографической нагрузки означает, что общество может произвести меньший объем товаров и оказать меньший объем услуг. Как результат, для поддержания приемлемого уровня жизни </w:t>
      </w:r>
      <w:proofErr w:type="spellStart"/>
      <w:r w:rsidRPr="00FC5243">
        <w:rPr>
          <w:rFonts w:ascii="Times New Roman" w:eastAsia="Noto Serif CJK SC" w:hAnsi="Times New Roman" w:cs="Lohit Devanagari"/>
          <w:kern w:val="2"/>
          <w:sz w:val="28"/>
          <w:szCs w:val="28"/>
          <w:lang w:eastAsia="zh-CN" w:bidi="hi-IN"/>
        </w:rPr>
        <w:t>депендантов</w:t>
      </w:r>
      <w:proofErr w:type="spellEnd"/>
      <w:r w:rsidRPr="00FC5243">
        <w:rPr>
          <w:rFonts w:ascii="Times New Roman" w:eastAsia="Noto Serif CJK SC" w:hAnsi="Times New Roman" w:cs="Lohit Devanagari"/>
          <w:kern w:val="2"/>
          <w:sz w:val="28"/>
          <w:szCs w:val="28"/>
          <w:lang w:eastAsia="zh-CN" w:bidi="hi-IN"/>
        </w:rPr>
        <w:t xml:space="preserve"> в этом случае требуется перераспределение в их пользу большей доли ресурсов, что может снизить уровень жизни занятого населения, а также стать препятствием для экономического развития.</w:t>
      </w:r>
    </w:p>
    <w:p w14:paraId="562AC509" w14:textId="77777777" w:rsidR="00FC5243" w:rsidRPr="00FC5243" w:rsidRDefault="00FC5243" w:rsidP="00FC5243">
      <w:pPr>
        <w:spacing w:line="360" w:lineRule="auto"/>
        <w:ind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Для снижения реальной демографической нагрузки на экономику необходим роста производительности труда. Расчеты показывают, что, если в ближайшие 30 лет она будет расти в среднем</w:t>
      </w:r>
      <w:r>
        <w:rPr>
          <w:rFonts w:ascii="Times New Roman" w:eastAsia="Noto Serif CJK SC" w:hAnsi="Times New Roman" w:cs="Lohit Devanagari"/>
          <w:kern w:val="2"/>
          <w:sz w:val="28"/>
          <w:szCs w:val="28"/>
          <w:lang w:eastAsia="zh-CN" w:bidi="hi-IN"/>
        </w:rPr>
        <w:t xml:space="preserve"> на 1% в год, этого хватит для того, чтобы компенсировать прогнозируемый к 2050 г. рост эффективного коэффициента демографической нагрузки. Но при этом долгосрочный рост производительности невозможен без развития и реализации человеческого потенциала, роста знаний и навыков работников, улучшения их здоровья и </w:t>
      </w:r>
      <w:r w:rsidRPr="00FC5243">
        <w:rPr>
          <w:rFonts w:ascii="Times New Roman" w:eastAsia="Noto Serif CJK SC" w:hAnsi="Times New Roman" w:cs="Lohit Devanagari"/>
          <w:kern w:val="2"/>
          <w:sz w:val="28"/>
          <w:szCs w:val="28"/>
          <w:lang w:eastAsia="zh-CN" w:bidi="hi-IN"/>
        </w:rPr>
        <w:t>продолжительности жизни, поддержания достаточного уровня трудовой мотивации.</w:t>
      </w:r>
    </w:p>
    <w:p w14:paraId="41D5DB30" w14:textId="77777777" w:rsidR="00FC5243" w:rsidRDefault="00FC5243" w:rsidP="00FC5243">
      <w:pPr>
        <w:spacing w:line="360" w:lineRule="auto"/>
        <w:ind w:firstLine="720"/>
        <w:jc w:val="both"/>
        <w:rPr>
          <w:rFonts w:ascii="Times New Roman" w:hAnsi="Times New Roman"/>
          <w:sz w:val="28"/>
          <w:szCs w:val="28"/>
        </w:rPr>
      </w:pPr>
      <w:r w:rsidRPr="00FC5243">
        <w:rPr>
          <w:rFonts w:ascii="Times New Roman" w:eastAsia="Noto Serif CJK SC" w:hAnsi="Times New Roman" w:cs="Lohit Devanagari"/>
          <w:kern w:val="2"/>
          <w:sz w:val="28"/>
          <w:szCs w:val="28"/>
          <w:lang w:eastAsia="zh-CN" w:bidi="hi-IN"/>
        </w:rPr>
        <w:t xml:space="preserve"> </w:t>
      </w:r>
      <w:r w:rsidRPr="00FC5243">
        <w:rPr>
          <w:rFonts w:ascii="Times New Roman" w:eastAsia="Noto Serif CJK SC" w:hAnsi="Times New Roman" w:cs="Lohit Devanagari"/>
          <w:i/>
          <w:iCs/>
          <w:kern w:val="2"/>
          <w:sz w:val="28"/>
          <w:szCs w:val="28"/>
          <w:lang w:eastAsia="zh-CN" w:bidi="hi-IN"/>
        </w:rPr>
        <w:t>Мотивация российских работников</w:t>
      </w:r>
      <w:r w:rsidRPr="00FC5243">
        <w:rPr>
          <w:rFonts w:ascii="Times New Roman" w:eastAsia="Noto Serif CJK SC" w:hAnsi="Times New Roman" w:cs="Lohit Devanagari"/>
          <w:kern w:val="2"/>
          <w:sz w:val="28"/>
          <w:szCs w:val="28"/>
          <w:lang w:eastAsia="zh-CN" w:bidi="hi-IN"/>
        </w:rPr>
        <w:t>. Существует миф о нежелании работать значительной части населения России, их низкой мотивации к труду и государственно-патерналистском настрое, и о том, что недостаточная трудовая мотивация – основная причина низкого уровня жизни. Однако анализ статистики занятости говорит об обратном.</w:t>
      </w:r>
    </w:p>
    <w:p w14:paraId="44469003" w14:textId="77777777" w:rsidR="00FC5243" w:rsidRDefault="00FC5243" w:rsidP="00FC5243">
      <w:pPr>
        <w:spacing w:line="360" w:lineRule="auto"/>
        <w:ind w:firstLine="720"/>
        <w:jc w:val="both"/>
        <w:rPr>
          <w:rFonts w:ascii="Times New Roman" w:hAnsi="Times New Roman"/>
          <w:sz w:val="28"/>
          <w:szCs w:val="28"/>
        </w:rPr>
      </w:pPr>
      <w:r>
        <w:rPr>
          <w:rFonts w:ascii="Times New Roman" w:eastAsia="Noto Serif CJK SC" w:hAnsi="Times New Roman" w:cs="Lohit Devanagari"/>
          <w:kern w:val="2"/>
          <w:sz w:val="28"/>
          <w:szCs w:val="28"/>
          <w:lang w:eastAsia="zh-CN" w:bidi="hi-IN"/>
        </w:rPr>
        <w:t>В качестве показателя, который может косвенно характеризовать трудовую мотивацию, предлагается рассматриваться уровни участия в рабочей силе по пятилетним половозрастным группам. Определяются они как соотношение численности рабочей силы (занятые плюс безработные по методологии МОТ) и совокупной численности населения для соответствующих половозрастных групп.</w:t>
      </w:r>
    </w:p>
    <w:p w14:paraId="620F992E" w14:textId="77777777" w:rsidR="00FC5243" w:rsidRDefault="00FC5243" w:rsidP="00FC5243">
      <w:pPr>
        <w:spacing w:line="360" w:lineRule="auto"/>
        <w:ind w:firstLine="720"/>
        <w:jc w:val="both"/>
        <w:rPr>
          <w:rFonts w:ascii="Times New Roman" w:hAnsi="Times New Roman"/>
          <w:sz w:val="28"/>
          <w:szCs w:val="28"/>
        </w:rPr>
      </w:pPr>
      <w:proofErr w:type="spellStart"/>
      <w:r>
        <w:rPr>
          <w:rFonts w:ascii="Times New Roman" w:eastAsia="Noto Serif CJK SC" w:hAnsi="Times New Roman" w:cs="Lohit Devanagari"/>
          <w:kern w:val="2"/>
          <w:sz w:val="28"/>
          <w:szCs w:val="28"/>
          <w:lang w:eastAsia="zh-CN" w:bidi="hi-IN"/>
        </w:rPr>
        <w:t>Межстрановые</w:t>
      </w:r>
      <w:proofErr w:type="spellEnd"/>
      <w:r>
        <w:rPr>
          <w:rFonts w:ascii="Times New Roman" w:eastAsia="Noto Serif CJK SC" w:hAnsi="Times New Roman" w:cs="Lohit Devanagari"/>
          <w:kern w:val="2"/>
          <w:sz w:val="28"/>
          <w:szCs w:val="28"/>
          <w:lang w:eastAsia="zh-CN" w:bidi="hi-IN"/>
        </w:rPr>
        <w:t xml:space="preserve"> сопоставления показывают, что для большей части возрастных групп уровни участия в рабочей силе как мужчин, так и женщин являются одними из самых высоких среди стран со схожим или более высоким, чем в России, средним уровнем дохода. Уровни участия в рабочей силе российских мужчин в возрасте </w:t>
      </w:r>
      <w:proofErr w:type="gramStart"/>
      <w:r>
        <w:rPr>
          <w:rFonts w:ascii="Times New Roman" w:eastAsia="Noto Serif CJK SC" w:hAnsi="Times New Roman" w:cs="Lohit Devanagari"/>
          <w:kern w:val="2"/>
          <w:sz w:val="28"/>
          <w:szCs w:val="28"/>
          <w:lang w:eastAsia="zh-CN" w:bidi="hi-IN"/>
        </w:rPr>
        <w:t>25-49</w:t>
      </w:r>
      <w:proofErr w:type="gramEnd"/>
      <w:r>
        <w:rPr>
          <w:rFonts w:ascii="Times New Roman" w:eastAsia="Noto Serif CJK SC" w:hAnsi="Times New Roman" w:cs="Lohit Devanagari"/>
          <w:kern w:val="2"/>
          <w:sz w:val="28"/>
          <w:szCs w:val="28"/>
          <w:lang w:eastAsia="zh-CN" w:bidi="hi-IN"/>
        </w:rPr>
        <w:t xml:space="preserve"> лет равны приблизительно 95%, женщин – 80-90%. Причем такие высокие значения этого показателя сохраняются уже в течение нескольких десятилетий.</w:t>
      </w:r>
    </w:p>
    <w:p w14:paraId="0B746E9A" w14:textId="77777777" w:rsidR="00FC5243" w:rsidRDefault="00FC5243" w:rsidP="00FC5243">
      <w:pPr>
        <w:spacing w:line="360" w:lineRule="auto"/>
        <w:ind w:firstLine="720"/>
        <w:jc w:val="both"/>
        <w:rPr>
          <w:rFonts w:ascii="Times New Roman" w:hAnsi="Times New Roman"/>
          <w:sz w:val="28"/>
          <w:szCs w:val="28"/>
        </w:rPr>
      </w:pPr>
      <w:r>
        <w:rPr>
          <w:rFonts w:ascii="Times New Roman" w:eastAsia="Noto Serif CJK SC" w:hAnsi="Times New Roman" w:cs="Lohit Devanagari"/>
          <w:kern w:val="2"/>
          <w:sz w:val="28"/>
          <w:szCs w:val="28"/>
          <w:lang w:eastAsia="zh-CN" w:bidi="hi-IN"/>
        </w:rPr>
        <w:t xml:space="preserve">На рис. 3.4 показаны половозрастные уровни участия в рабочей силе в России, Японии и Германии в 2019 г. Для сравнения были выбраны страны с очевидно высокой мотивацией работников к труду, хотя в рамках анализа проведены сравнения и с несколькими десятками других стран. Российские значения ниже немецких и японских для молодежи в возрасте </w:t>
      </w:r>
      <w:proofErr w:type="gramStart"/>
      <w:r>
        <w:rPr>
          <w:rFonts w:ascii="Times New Roman" w:eastAsia="Noto Serif CJK SC" w:hAnsi="Times New Roman" w:cs="Lohit Devanagari"/>
          <w:kern w:val="2"/>
          <w:sz w:val="28"/>
          <w:szCs w:val="28"/>
          <w:lang w:eastAsia="zh-CN" w:bidi="hi-IN"/>
        </w:rPr>
        <w:t>15-24</w:t>
      </w:r>
      <w:proofErr w:type="gramEnd"/>
      <w:r>
        <w:rPr>
          <w:rFonts w:ascii="Times New Roman" w:eastAsia="Noto Serif CJK SC" w:hAnsi="Times New Roman" w:cs="Lohit Devanagari"/>
          <w:kern w:val="2"/>
          <w:sz w:val="28"/>
          <w:szCs w:val="28"/>
          <w:lang w:eastAsia="zh-CN" w:bidi="hi-IN"/>
        </w:rPr>
        <w:t xml:space="preserve"> лет, а также для населения старше 50 лет.</w:t>
      </w:r>
    </w:p>
    <w:p w14:paraId="0CC3CB36" w14:textId="77777777" w:rsidR="00FC5243" w:rsidRDefault="00FC5243" w:rsidP="00FC5243">
      <w:pPr>
        <w:spacing w:line="360" w:lineRule="auto"/>
        <w:ind w:firstLine="720"/>
        <w:jc w:val="both"/>
        <w:rPr>
          <w:rFonts w:ascii="Times New Roman" w:hAnsi="Times New Roman"/>
          <w:sz w:val="28"/>
          <w:szCs w:val="28"/>
        </w:rPr>
      </w:pPr>
      <w:r>
        <w:rPr>
          <w:rFonts w:ascii="Times New Roman" w:eastAsia="Noto Serif CJK SC" w:hAnsi="Times New Roman" w:cs="Lohit Devanagari"/>
          <w:kern w:val="2"/>
          <w:sz w:val="28"/>
          <w:szCs w:val="28"/>
          <w:lang w:eastAsia="zh-CN" w:bidi="hi-IN"/>
        </w:rPr>
        <w:t xml:space="preserve">При этом для большинства российских мужчин трудоспособного возраста – </w:t>
      </w:r>
      <w:proofErr w:type="gramStart"/>
      <w:r>
        <w:rPr>
          <w:rFonts w:ascii="Times New Roman" w:eastAsia="Noto Serif CJK SC" w:hAnsi="Times New Roman" w:cs="Lohit Devanagari"/>
          <w:kern w:val="2"/>
          <w:sz w:val="28"/>
          <w:szCs w:val="28"/>
          <w:lang w:eastAsia="zh-CN" w:bidi="hi-IN"/>
        </w:rPr>
        <w:t>25-49</w:t>
      </w:r>
      <w:proofErr w:type="gramEnd"/>
      <w:r>
        <w:rPr>
          <w:rFonts w:ascii="Times New Roman" w:eastAsia="Noto Serif CJK SC" w:hAnsi="Times New Roman" w:cs="Lohit Devanagari"/>
          <w:kern w:val="2"/>
          <w:sz w:val="28"/>
          <w:szCs w:val="28"/>
          <w:lang w:eastAsia="zh-CN" w:bidi="hi-IN"/>
        </w:rPr>
        <w:t xml:space="preserve"> лет – характерны такие же уровни участия в рабочей силе, как в Германии и Японии. У российских женщин этот показатель стабильно выше немецких и японских значений для </w:t>
      </w:r>
      <w:proofErr w:type="gramStart"/>
      <w:r>
        <w:rPr>
          <w:rFonts w:ascii="Times New Roman" w:eastAsia="Noto Serif CJK SC" w:hAnsi="Times New Roman" w:cs="Lohit Devanagari"/>
          <w:kern w:val="2"/>
          <w:sz w:val="28"/>
          <w:szCs w:val="28"/>
          <w:lang w:eastAsia="zh-CN" w:bidi="hi-IN"/>
        </w:rPr>
        <w:t>30-54</w:t>
      </w:r>
      <w:proofErr w:type="gramEnd"/>
      <w:r>
        <w:rPr>
          <w:rFonts w:ascii="Times New Roman" w:eastAsia="Noto Serif CJK SC" w:hAnsi="Times New Roman" w:cs="Lohit Devanagari"/>
          <w:kern w:val="2"/>
          <w:sz w:val="28"/>
          <w:szCs w:val="28"/>
          <w:lang w:eastAsia="zh-CN" w:bidi="hi-IN"/>
        </w:rPr>
        <w:t xml:space="preserve"> лет.</w:t>
      </w:r>
    </w:p>
    <w:p w14:paraId="4E57921C" w14:textId="77777777" w:rsidR="00FC5243" w:rsidRDefault="00FC5243" w:rsidP="00FC5243">
      <w:pPr>
        <w:spacing w:line="360" w:lineRule="auto"/>
        <w:ind w:firstLine="567"/>
        <w:jc w:val="both"/>
        <w:rPr>
          <w:rFonts w:ascii="Times New Roman" w:hAnsi="Times New Roman"/>
          <w:sz w:val="28"/>
          <w:szCs w:val="28"/>
        </w:rPr>
      </w:pPr>
    </w:p>
    <w:p w14:paraId="108D1E8E" w14:textId="77777777" w:rsidR="00FC5243" w:rsidRDefault="00FC5243" w:rsidP="00FC5243">
      <w:pPr>
        <w:spacing w:line="360" w:lineRule="auto"/>
        <w:jc w:val="both"/>
        <w:rPr>
          <w:rFonts w:ascii="Times New Roman" w:hAnsi="Times New Roman"/>
        </w:rPr>
      </w:pPr>
      <w:r>
        <w:rPr>
          <w:rFonts w:ascii="Times New Roman" w:hAnsi="Times New Roman"/>
          <w:noProof/>
          <w:lang w:eastAsia="ru-RU"/>
        </w:rPr>
        <w:drawing>
          <wp:anchor distT="0" distB="0" distL="0" distR="0" simplePos="0" relativeHeight="251674624" behindDoc="0" locked="0" layoutInCell="0" allowOverlap="1" wp14:anchorId="59321CE7" wp14:editId="728BA315">
            <wp:simplePos x="0" y="0"/>
            <wp:positionH relativeFrom="column">
              <wp:align>center</wp:align>
            </wp:positionH>
            <wp:positionV relativeFrom="paragraph">
              <wp:posOffset>635</wp:posOffset>
            </wp:positionV>
            <wp:extent cx="4959350" cy="3670300"/>
            <wp:effectExtent l="0" t="0" r="0" b="0"/>
            <wp:wrapSquare wrapText="largest"/>
            <wp:docPr id="32"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pic:cNvPicPr>
                      <a:picLocks noChangeAspect="1" noChangeArrowheads="1"/>
                    </pic:cNvPicPr>
                  </pic:nvPicPr>
                  <pic:blipFill>
                    <a:blip r:embed="rId16"/>
                    <a:stretch>
                      <a:fillRect/>
                    </a:stretch>
                  </pic:blipFill>
                  <pic:spPr bwMode="auto">
                    <a:xfrm>
                      <a:off x="0" y="0"/>
                      <a:ext cx="4959350" cy="3670300"/>
                    </a:xfrm>
                    <a:prstGeom prst="rect">
                      <a:avLst/>
                    </a:prstGeom>
                  </pic:spPr>
                </pic:pic>
              </a:graphicData>
            </a:graphic>
          </wp:anchor>
        </w:drawing>
      </w:r>
    </w:p>
    <w:p w14:paraId="10D9F406" w14:textId="77777777" w:rsidR="00FC5243" w:rsidRDefault="00FC5243" w:rsidP="00FC5243">
      <w:pPr>
        <w:spacing w:line="360" w:lineRule="auto"/>
        <w:jc w:val="both"/>
        <w:rPr>
          <w:rFonts w:ascii="Times New Roman" w:hAnsi="Times New Roman"/>
        </w:rPr>
      </w:pPr>
    </w:p>
    <w:p w14:paraId="147333C5" w14:textId="77777777" w:rsidR="00FC5243" w:rsidRDefault="00FC5243" w:rsidP="00FC5243">
      <w:pPr>
        <w:spacing w:line="360" w:lineRule="auto"/>
        <w:jc w:val="center"/>
        <w:rPr>
          <w:rFonts w:ascii="Times New Roman" w:hAnsi="Times New Roman"/>
        </w:rPr>
      </w:pPr>
    </w:p>
    <w:p w14:paraId="2295B8C7" w14:textId="77777777" w:rsidR="00FC5243" w:rsidRDefault="00FC5243" w:rsidP="00FC5243">
      <w:pPr>
        <w:spacing w:line="360" w:lineRule="auto"/>
        <w:ind w:firstLine="567"/>
        <w:jc w:val="both"/>
        <w:rPr>
          <w:rFonts w:ascii="Times New Roman" w:hAnsi="Times New Roman"/>
          <w:sz w:val="28"/>
          <w:szCs w:val="28"/>
        </w:rPr>
      </w:pPr>
    </w:p>
    <w:p w14:paraId="64DE6436" w14:textId="77777777" w:rsidR="00FC5243" w:rsidRDefault="00FC5243" w:rsidP="00FC5243">
      <w:pPr>
        <w:spacing w:line="360" w:lineRule="auto"/>
        <w:ind w:firstLine="567"/>
        <w:jc w:val="both"/>
        <w:rPr>
          <w:rFonts w:ascii="Times New Roman" w:hAnsi="Times New Roman"/>
          <w:sz w:val="28"/>
          <w:szCs w:val="28"/>
        </w:rPr>
      </w:pPr>
    </w:p>
    <w:p w14:paraId="42B7551E" w14:textId="77777777" w:rsidR="00FC5243" w:rsidRDefault="00FC5243" w:rsidP="00FC5243">
      <w:pPr>
        <w:spacing w:line="360" w:lineRule="auto"/>
        <w:ind w:firstLine="567"/>
        <w:jc w:val="both"/>
        <w:rPr>
          <w:rFonts w:ascii="Times New Roman" w:hAnsi="Times New Roman"/>
          <w:sz w:val="28"/>
          <w:szCs w:val="28"/>
        </w:rPr>
      </w:pPr>
    </w:p>
    <w:p w14:paraId="0E493026" w14:textId="77777777" w:rsidR="00FC5243" w:rsidRDefault="00FC5243" w:rsidP="00FC5243">
      <w:pPr>
        <w:spacing w:line="360" w:lineRule="auto"/>
        <w:ind w:firstLine="567"/>
        <w:jc w:val="both"/>
        <w:rPr>
          <w:rFonts w:ascii="Times New Roman" w:hAnsi="Times New Roman"/>
          <w:sz w:val="28"/>
          <w:szCs w:val="28"/>
        </w:rPr>
      </w:pPr>
    </w:p>
    <w:p w14:paraId="28C8E9E3" w14:textId="77777777" w:rsidR="00FC5243" w:rsidRDefault="00FC5243" w:rsidP="00FC5243">
      <w:pPr>
        <w:spacing w:line="360" w:lineRule="auto"/>
        <w:ind w:firstLine="567"/>
        <w:jc w:val="both"/>
        <w:rPr>
          <w:rFonts w:ascii="Times New Roman" w:hAnsi="Times New Roman"/>
          <w:sz w:val="28"/>
          <w:szCs w:val="28"/>
        </w:rPr>
      </w:pPr>
    </w:p>
    <w:p w14:paraId="3EC17944" w14:textId="77777777" w:rsidR="00FC5243" w:rsidRDefault="00FC5243" w:rsidP="00FC5243">
      <w:pPr>
        <w:spacing w:line="360" w:lineRule="auto"/>
        <w:ind w:firstLine="567"/>
        <w:jc w:val="both"/>
        <w:rPr>
          <w:rFonts w:ascii="Times New Roman" w:hAnsi="Times New Roman"/>
          <w:sz w:val="28"/>
          <w:szCs w:val="28"/>
        </w:rPr>
      </w:pPr>
    </w:p>
    <w:p w14:paraId="1F55EA57" w14:textId="77777777" w:rsidR="00FC5243" w:rsidRDefault="00FC5243" w:rsidP="00FC5243">
      <w:pPr>
        <w:spacing w:line="360" w:lineRule="auto"/>
        <w:ind w:firstLine="567"/>
        <w:jc w:val="both"/>
        <w:rPr>
          <w:rFonts w:ascii="Times New Roman" w:hAnsi="Times New Roman"/>
          <w:sz w:val="28"/>
          <w:szCs w:val="28"/>
        </w:rPr>
      </w:pPr>
    </w:p>
    <w:p w14:paraId="3E0BCDC5" w14:textId="77777777" w:rsidR="00FC5243" w:rsidRDefault="00FC5243" w:rsidP="00FC5243">
      <w:pPr>
        <w:spacing w:line="360" w:lineRule="auto"/>
        <w:ind w:firstLine="720"/>
        <w:jc w:val="center"/>
      </w:pPr>
      <w:r>
        <w:rPr>
          <w:rFonts w:ascii="Times New Roman" w:eastAsia="Noto Serif CJK SC" w:hAnsi="Times New Roman" w:cs="Lohit Devanagari"/>
          <w:kern w:val="2"/>
          <w:sz w:val="28"/>
          <w:szCs w:val="28"/>
          <w:lang w:eastAsia="zh-CN" w:bidi="hi-IN"/>
        </w:rPr>
        <w:t>Рис. 3.4. Половозрастные</w:t>
      </w:r>
      <w:r>
        <w:rPr>
          <w:rFonts w:ascii="Times New Roman" w:hAnsi="Times New Roman"/>
          <w:sz w:val="28"/>
          <w:szCs w:val="28"/>
        </w:rPr>
        <w:t xml:space="preserve"> уровни участия в рабочей силе в России, Японии и Германии в 2019 г., % среднегодовой численности населения соответствующей категории</w:t>
      </w:r>
    </w:p>
    <w:p w14:paraId="65E1C0F3" w14:textId="77777777" w:rsidR="00FC5243" w:rsidRDefault="00FC5243" w:rsidP="00FC5243">
      <w:pPr>
        <w:spacing w:line="360" w:lineRule="auto"/>
      </w:pPr>
      <w:r>
        <w:rPr>
          <w:rFonts w:ascii="Times New Roman" w:hAnsi="Times New Roman"/>
          <w:sz w:val="24"/>
          <w:szCs w:val="24"/>
        </w:rPr>
        <w:t xml:space="preserve">Источники: </w:t>
      </w:r>
      <w:r>
        <w:rPr>
          <w:rFonts w:ascii="Times New Roman" w:eastAsia="Noto Serif CJK SC" w:hAnsi="Times New Roman" w:cs="Lohit Devanagari"/>
          <w:kern w:val="2"/>
          <w:sz w:val="24"/>
          <w:szCs w:val="24"/>
          <w:lang w:eastAsia="zh-CN" w:bidi="hi-IN"/>
        </w:rPr>
        <w:t>Росстат, МОТ</w:t>
      </w:r>
    </w:p>
    <w:p w14:paraId="20B427EF" w14:textId="77777777" w:rsidR="00FC5243" w:rsidRPr="00FC5243" w:rsidRDefault="00FC5243" w:rsidP="00FC5243">
      <w:pPr>
        <w:spacing w:line="360" w:lineRule="auto"/>
        <w:ind w:firstLine="720"/>
        <w:jc w:val="both"/>
      </w:pPr>
      <w:r>
        <w:rPr>
          <w:rFonts w:ascii="Times New Roman" w:hAnsi="Times New Roman"/>
          <w:sz w:val="28"/>
          <w:szCs w:val="28"/>
        </w:rPr>
        <w:t xml:space="preserve">В последние годы </w:t>
      </w:r>
      <w:r>
        <w:rPr>
          <w:rFonts w:ascii="Times New Roman" w:eastAsia="Noto Serif CJK SC" w:hAnsi="Times New Roman" w:cs="Lohit Devanagari"/>
          <w:kern w:val="2"/>
          <w:sz w:val="28"/>
          <w:szCs w:val="28"/>
          <w:lang w:eastAsia="zh-CN" w:bidi="hi-IN"/>
        </w:rPr>
        <w:t xml:space="preserve">уровни участия в рабочей силе мужчин и женщин предпенсионного и пенсионного возрастов постепенно растут, но тем не </w:t>
      </w:r>
      <w:r w:rsidRPr="00FC5243">
        <w:rPr>
          <w:rFonts w:ascii="Times New Roman" w:eastAsia="Noto Serif CJK SC" w:hAnsi="Times New Roman" w:cs="Lohit Devanagari"/>
          <w:kern w:val="2"/>
          <w:sz w:val="28"/>
          <w:szCs w:val="28"/>
          <w:lang w:eastAsia="zh-CN" w:bidi="hi-IN"/>
        </w:rPr>
        <w:t>менее остаются низкими на фоне многих других стран</w:t>
      </w:r>
      <w:r w:rsidRPr="00FC5243">
        <w:rPr>
          <w:rFonts w:ascii="Times New Roman" w:hAnsi="Times New Roman"/>
          <w:sz w:val="28"/>
          <w:szCs w:val="28"/>
        </w:rPr>
        <w:t xml:space="preserve">. Сложившаяся ситуация отражает прежде всего </w:t>
      </w:r>
      <w:r w:rsidRPr="00FC5243">
        <w:rPr>
          <w:rFonts w:ascii="Times New Roman" w:eastAsia="Noto Serif CJK SC" w:hAnsi="Times New Roman" w:cs="Lohit Devanagari"/>
          <w:kern w:val="2"/>
          <w:sz w:val="28"/>
          <w:szCs w:val="28"/>
          <w:lang w:eastAsia="zh-CN" w:bidi="hi-IN"/>
        </w:rPr>
        <w:t>крайне</w:t>
      </w:r>
      <w:r w:rsidRPr="00FC5243">
        <w:rPr>
          <w:rFonts w:ascii="Times New Roman" w:hAnsi="Times New Roman"/>
          <w:sz w:val="28"/>
          <w:szCs w:val="28"/>
        </w:rPr>
        <w:t xml:space="preserve"> низкие показатели продолжительности активной (здоровой) жизни населения и отличающиеся от многих других стран границы пенсионного возраста. Кроме того, низкая востребованность лиц </w:t>
      </w:r>
      <w:r w:rsidRPr="00FC5243">
        <w:rPr>
          <w:rFonts w:ascii="Times New Roman" w:eastAsia="Noto Serif CJK SC" w:hAnsi="Times New Roman" w:cs="Lohit Devanagari"/>
          <w:kern w:val="2"/>
          <w:sz w:val="28"/>
          <w:szCs w:val="28"/>
          <w:lang w:eastAsia="zh-CN" w:bidi="hi-IN"/>
        </w:rPr>
        <w:t>этих возрастов</w:t>
      </w:r>
      <w:r w:rsidRPr="00FC5243">
        <w:rPr>
          <w:rFonts w:ascii="Times New Roman" w:hAnsi="Times New Roman"/>
          <w:sz w:val="28"/>
          <w:szCs w:val="28"/>
        </w:rPr>
        <w:t xml:space="preserve"> может косвенно свидетельствовать об отсутствии в настоящее время </w:t>
      </w:r>
      <w:r w:rsidRPr="00FC5243">
        <w:rPr>
          <w:rFonts w:ascii="Times New Roman" w:eastAsia="Noto Serif CJK SC" w:hAnsi="Times New Roman" w:cs="Lohit Devanagari"/>
          <w:kern w:val="2"/>
          <w:sz w:val="28"/>
          <w:szCs w:val="28"/>
          <w:lang w:eastAsia="zh-CN" w:bidi="hi-IN"/>
        </w:rPr>
        <w:t>значительного</w:t>
      </w:r>
      <w:r w:rsidRPr="00FC5243">
        <w:rPr>
          <w:rFonts w:ascii="Times New Roman" w:hAnsi="Times New Roman"/>
          <w:sz w:val="28"/>
          <w:szCs w:val="28"/>
        </w:rPr>
        <w:t xml:space="preserve"> дефицита трудовых ресурсов.</w:t>
      </w:r>
    </w:p>
    <w:p w14:paraId="3A6CC6C1" w14:textId="77777777" w:rsidR="00FC5243" w:rsidRPr="00FC5243" w:rsidRDefault="00FC5243" w:rsidP="00FC5243">
      <w:pPr>
        <w:spacing w:line="360" w:lineRule="auto"/>
        <w:ind w:firstLine="720"/>
        <w:jc w:val="both"/>
      </w:pPr>
      <w:r w:rsidRPr="00FC5243">
        <w:rPr>
          <w:rFonts w:ascii="Times New Roman" w:hAnsi="Times New Roman"/>
          <w:sz w:val="28"/>
          <w:szCs w:val="28"/>
        </w:rPr>
        <w:t xml:space="preserve">По нашим оценкам, за счет сокращения смертности и повышения уровней участия в рабочей силе населения предпенсионного и пенсионного возрастов (на </w:t>
      </w:r>
      <w:proofErr w:type="gramStart"/>
      <w:r w:rsidRPr="00FC5243">
        <w:rPr>
          <w:rFonts w:ascii="Times New Roman" w:hAnsi="Times New Roman"/>
          <w:sz w:val="28"/>
          <w:szCs w:val="28"/>
        </w:rPr>
        <w:t>5-11</w:t>
      </w:r>
      <w:proofErr w:type="gramEnd"/>
      <w:r w:rsidRPr="00FC5243">
        <w:rPr>
          <w:rFonts w:ascii="Times New Roman" w:hAnsi="Times New Roman"/>
          <w:sz w:val="28"/>
          <w:szCs w:val="28"/>
        </w:rPr>
        <w:t xml:space="preserve"> п. п. для разных групп) к 2035 г. может быть обеспечен дополнительный рост ВВП не менее чем на 8%, или 5,5 трлн руб. в ценах 2016 г. Это означает, что за счет этих факторов в </w:t>
      </w:r>
      <w:proofErr w:type="gramStart"/>
      <w:r w:rsidRPr="00FC5243">
        <w:rPr>
          <w:rFonts w:ascii="Times New Roman" w:hAnsi="Times New Roman"/>
          <w:sz w:val="28"/>
          <w:szCs w:val="28"/>
        </w:rPr>
        <w:t>2018-2035</w:t>
      </w:r>
      <w:proofErr w:type="gramEnd"/>
      <w:r w:rsidRPr="00FC5243">
        <w:rPr>
          <w:rFonts w:ascii="Times New Roman" w:hAnsi="Times New Roman"/>
          <w:sz w:val="28"/>
          <w:szCs w:val="28"/>
        </w:rPr>
        <w:t xml:space="preserve"> гг. может быть достигнут дополнительный прирост среднегодовых темпов ВВП как минимум в 0,5 п. п.</w:t>
      </w:r>
    </w:p>
    <w:p w14:paraId="7A11A62A" w14:textId="77777777" w:rsidR="00FC5243" w:rsidRPr="00FC5243" w:rsidRDefault="00FC5243" w:rsidP="00FC5243">
      <w:pPr>
        <w:spacing w:line="360" w:lineRule="auto"/>
        <w:ind w:firstLine="720"/>
        <w:jc w:val="both"/>
      </w:pPr>
      <w:r w:rsidRPr="00FC5243">
        <w:rPr>
          <w:rFonts w:ascii="Times New Roman" w:eastAsia="Noto Serif CJK SC" w:hAnsi="Times New Roman" w:cs="Lohit Devanagari"/>
          <w:i/>
          <w:iCs/>
          <w:kern w:val="2"/>
          <w:sz w:val="28"/>
          <w:szCs w:val="28"/>
          <w:lang w:eastAsia="zh-CN" w:bidi="hi-IN"/>
        </w:rPr>
        <w:t>Квалификационная с</w:t>
      </w:r>
      <w:r w:rsidRPr="00FC5243">
        <w:rPr>
          <w:rFonts w:ascii="Times New Roman" w:hAnsi="Times New Roman"/>
          <w:i/>
          <w:iCs/>
          <w:sz w:val="28"/>
          <w:szCs w:val="28"/>
        </w:rPr>
        <w:t>труктура занятости российских работников</w:t>
      </w:r>
      <w:r w:rsidRPr="00FC5243">
        <w:rPr>
          <w:rFonts w:ascii="Times New Roman" w:hAnsi="Times New Roman"/>
          <w:sz w:val="28"/>
          <w:szCs w:val="28"/>
        </w:rPr>
        <w:t>. Квалификационная структура занятости, с одной стороны, отражает образовательный уровень и навыки населения, с другой – является индикатором спроса на те, или иные навыки в условиях сложившейся производственной и технологической структуры экономики.</w:t>
      </w:r>
    </w:p>
    <w:p w14:paraId="1220811D" w14:textId="77777777" w:rsidR="00FC5243" w:rsidRPr="00FC5243" w:rsidRDefault="00FC5243" w:rsidP="00FC5243">
      <w:pPr>
        <w:spacing w:line="360" w:lineRule="auto"/>
        <w:ind w:firstLine="720"/>
        <w:jc w:val="both"/>
      </w:pPr>
      <w:r w:rsidRPr="00FC5243">
        <w:rPr>
          <w:rFonts w:ascii="Times New Roman" w:hAnsi="Times New Roman"/>
          <w:sz w:val="28"/>
          <w:szCs w:val="28"/>
        </w:rPr>
        <w:t xml:space="preserve">Согласно выборочным обследованиям Росстата, в среднем в 2019 г. в российской экономике </w:t>
      </w:r>
      <w:r w:rsidRPr="00FC5243">
        <w:rPr>
          <w:rFonts w:ascii="Times New Roman" w:eastAsia="Noto Serif CJK SC" w:hAnsi="Times New Roman" w:cs="Lohit Devanagari"/>
          <w:kern w:val="2"/>
          <w:sz w:val="28"/>
          <w:szCs w:val="28"/>
          <w:lang w:eastAsia="zh-CN" w:bidi="hi-IN"/>
        </w:rPr>
        <w:t>к числу занятых относились</w:t>
      </w:r>
      <w:r w:rsidRPr="00FC5243">
        <w:rPr>
          <w:rFonts w:ascii="Times New Roman" w:hAnsi="Times New Roman"/>
          <w:sz w:val="28"/>
          <w:szCs w:val="28"/>
        </w:rPr>
        <w:t xml:space="preserve"> 71.9 млн. чел. (иностранные трудовые мигранты практически не попадают в это число). В таблице 3.2 представлена структура занятых в разрезе укрупненных групп занятий. Самой многочисленной группой стали “Специалисты высшего уровня квалификации”: к ней были отнесены 25.0% всех работников. Среди других групп обращают на себя внимание три:</w:t>
      </w:r>
    </w:p>
    <w:p w14:paraId="0405DFB9" w14:textId="77777777" w:rsidR="00FC5243" w:rsidRPr="00FC5243" w:rsidRDefault="00FC5243" w:rsidP="00FC5243">
      <w:pPr>
        <w:spacing w:line="360" w:lineRule="auto"/>
        <w:ind w:firstLine="720"/>
        <w:jc w:val="both"/>
      </w:pPr>
      <w:r w:rsidRPr="00FC5243">
        <w:rPr>
          <w:rFonts w:ascii="Times New Roman" w:hAnsi="Times New Roman"/>
          <w:sz w:val="28"/>
          <w:szCs w:val="28"/>
        </w:rPr>
        <w:t>- “Продавцы” – 7.5% занятых;</w:t>
      </w:r>
    </w:p>
    <w:p w14:paraId="706479CC" w14:textId="77777777" w:rsidR="00FC5243" w:rsidRPr="00FC5243" w:rsidRDefault="00FC5243" w:rsidP="00FC5243">
      <w:pPr>
        <w:spacing w:line="360" w:lineRule="auto"/>
        <w:ind w:firstLine="720"/>
        <w:jc w:val="both"/>
      </w:pPr>
      <w:r w:rsidRPr="00FC5243">
        <w:rPr>
          <w:rFonts w:ascii="Times New Roman" w:hAnsi="Times New Roman"/>
          <w:sz w:val="28"/>
          <w:szCs w:val="28"/>
        </w:rPr>
        <w:t>- “Водители и операторы подвижного оборудования” – 9.4% занятых;</w:t>
      </w:r>
    </w:p>
    <w:p w14:paraId="59A16CC9" w14:textId="77777777" w:rsidR="00FC5243" w:rsidRPr="00FC5243" w:rsidRDefault="00FC5243" w:rsidP="00FC5243">
      <w:pPr>
        <w:spacing w:line="360" w:lineRule="auto"/>
        <w:ind w:firstLine="720"/>
        <w:jc w:val="both"/>
      </w:pPr>
      <w:r w:rsidRPr="00FC5243">
        <w:rPr>
          <w:rFonts w:ascii="Times New Roman" w:hAnsi="Times New Roman"/>
          <w:sz w:val="28"/>
          <w:szCs w:val="28"/>
        </w:rPr>
        <w:t>- “Неквалифицированные рабочие” – 7.8% занятых.</w:t>
      </w:r>
    </w:p>
    <w:p w14:paraId="20D74798" w14:textId="77777777" w:rsidR="00FC5243" w:rsidRDefault="00FC5243" w:rsidP="00FC5243">
      <w:pPr>
        <w:spacing w:line="360" w:lineRule="auto"/>
        <w:ind w:firstLine="720"/>
        <w:jc w:val="both"/>
      </w:pPr>
      <w:r w:rsidRPr="00FC5243">
        <w:rPr>
          <w:rFonts w:ascii="Times New Roman" w:hAnsi="Times New Roman"/>
          <w:sz w:val="28"/>
          <w:szCs w:val="28"/>
        </w:rPr>
        <w:t>В сумме к трем перечисленным позициям относится 24.8% занятых в экономике страны. Более того, большая часть иностранных трудовых мигрантов, не учитываемых в обследованиях Росстата, тоже относ</w:t>
      </w:r>
      <w:r w:rsidRPr="00FC5243">
        <w:rPr>
          <w:rFonts w:ascii="Times New Roman" w:eastAsia="Noto Serif CJK SC" w:hAnsi="Times New Roman" w:cs="Lohit Devanagari"/>
          <w:kern w:val="2"/>
          <w:sz w:val="28"/>
          <w:szCs w:val="28"/>
          <w:lang w:eastAsia="zh-CN" w:bidi="hi-IN"/>
        </w:rPr>
        <w:t>и</w:t>
      </w:r>
      <w:r w:rsidRPr="00FC5243">
        <w:rPr>
          <w:rFonts w:ascii="Times New Roman" w:hAnsi="Times New Roman"/>
          <w:sz w:val="28"/>
          <w:szCs w:val="28"/>
        </w:rPr>
        <w:t xml:space="preserve">тся к одной из этих позиций. </w:t>
      </w:r>
      <w:r w:rsidRPr="00FC5243">
        <w:rPr>
          <w:rFonts w:ascii="Times New Roman" w:eastAsia="Noto Serif CJK SC" w:hAnsi="Times New Roman" w:cs="Lohit Devanagari"/>
          <w:kern w:val="2"/>
          <w:sz w:val="28"/>
          <w:szCs w:val="28"/>
          <w:lang w:eastAsia="zh-CN" w:bidi="hi-IN"/>
        </w:rPr>
        <w:t>Перечисленные позиции объединяет то, что они имеют очень высокий потенциал автоматизации в долго- и даже среднесрочной перспективе (правда, в группе “Неквалифицированные рабочие” это относится не ко всем видам занятий).</w:t>
      </w:r>
    </w:p>
    <w:p w14:paraId="7DE24D42" w14:textId="77777777" w:rsidR="00FC5243" w:rsidRDefault="00FC5243" w:rsidP="00FC5243">
      <w:pPr>
        <w:spacing w:line="360" w:lineRule="auto"/>
        <w:jc w:val="center"/>
      </w:pPr>
      <w:r>
        <w:rPr>
          <w:rFonts w:ascii="Times New Roman" w:hAnsi="Times New Roman"/>
          <w:sz w:val="28"/>
          <w:szCs w:val="28"/>
        </w:rPr>
        <w:t>Таблица 3.2. Распределение занятых в экономике России по группам занятий в 2019 г.</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6433"/>
        <w:gridCol w:w="1452"/>
        <w:gridCol w:w="1460"/>
      </w:tblGrid>
      <w:tr w:rsidR="00FC5243" w14:paraId="3B18150C"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6DBAE246" w14:textId="77777777" w:rsidR="00FC5243" w:rsidRDefault="00FC5243" w:rsidP="00A06AFB">
            <w:pPr>
              <w:widowControl w:val="0"/>
              <w:rPr>
                <w:rFonts w:ascii="Times New Roman" w:hAnsi="Times New Roman" w:cs="Times New Roman"/>
              </w:rPr>
            </w:pPr>
          </w:p>
        </w:tc>
        <w:tc>
          <w:tcPr>
            <w:tcW w:w="1453" w:type="dxa"/>
            <w:tcBorders>
              <w:top w:val="single" w:sz="4" w:space="0" w:color="000000"/>
              <w:left w:val="single" w:sz="4" w:space="0" w:color="000000"/>
              <w:bottom w:val="single" w:sz="4" w:space="0" w:color="000000"/>
              <w:right w:val="single" w:sz="4" w:space="0" w:color="000000"/>
            </w:tcBorders>
            <w:vAlign w:val="center"/>
          </w:tcPr>
          <w:p w14:paraId="358776AA"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Млн. чел.</w:t>
            </w:r>
          </w:p>
        </w:tc>
        <w:tc>
          <w:tcPr>
            <w:tcW w:w="1461" w:type="dxa"/>
            <w:tcBorders>
              <w:top w:val="single" w:sz="4" w:space="0" w:color="000000"/>
              <w:left w:val="single" w:sz="4" w:space="0" w:color="000000"/>
              <w:bottom w:val="single" w:sz="4" w:space="0" w:color="000000"/>
              <w:right w:val="single" w:sz="4" w:space="0" w:color="000000"/>
            </w:tcBorders>
            <w:vAlign w:val="center"/>
          </w:tcPr>
          <w:p w14:paraId="28E02C81"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w:t>
            </w:r>
          </w:p>
        </w:tc>
      </w:tr>
      <w:tr w:rsidR="00FC5243" w14:paraId="2D2A7616"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25EC5271" w14:textId="77777777" w:rsidR="00FC5243" w:rsidRDefault="00FC5243" w:rsidP="00A06AFB">
            <w:pPr>
              <w:widowControl w:val="0"/>
              <w:rPr>
                <w:rFonts w:ascii="Times New Roman" w:hAnsi="Times New Roman" w:cs="Times New Roman"/>
              </w:rPr>
            </w:pPr>
            <w:r>
              <w:rPr>
                <w:rFonts w:ascii="Times New Roman" w:hAnsi="Times New Roman" w:cs="Times New Roman"/>
              </w:rPr>
              <w:t>Всего</w:t>
            </w:r>
          </w:p>
        </w:tc>
        <w:tc>
          <w:tcPr>
            <w:tcW w:w="1453" w:type="dxa"/>
            <w:tcBorders>
              <w:top w:val="single" w:sz="4" w:space="0" w:color="000000"/>
              <w:left w:val="single" w:sz="4" w:space="0" w:color="000000"/>
              <w:bottom w:val="single" w:sz="4" w:space="0" w:color="000000"/>
              <w:right w:val="single" w:sz="4" w:space="0" w:color="000000"/>
            </w:tcBorders>
            <w:vAlign w:val="center"/>
          </w:tcPr>
          <w:p w14:paraId="76236DCC"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71.9</w:t>
            </w:r>
          </w:p>
        </w:tc>
        <w:tc>
          <w:tcPr>
            <w:tcW w:w="1461" w:type="dxa"/>
            <w:tcBorders>
              <w:top w:val="single" w:sz="4" w:space="0" w:color="000000"/>
              <w:left w:val="single" w:sz="4" w:space="0" w:color="000000"/>
              <w:bottom w:val="single" w:sz="4" w:space="0" w:color="000000"/>
              <w:right w:val="single" w:sz="4" w:space="0" w:color="000000"/>
            </w:tcBorders>
            <w:vAlign w:val="center"/>
          </w:tcPr>
          <w:p w14:paraId="48382684"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100</w:t>
            </w:r>
          </w:p>
        </w:tc>
      </w:tr>
      <w:tr w:rsidR="00FC5243" w14:paraId="269AEB6D"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5101058E"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Руководители</w:t>
            </w:r>
          </w:p>
        </w:tc>
        <w:tc>
          <w:tcPr>
            <w:tcW w:w="1453" w:type="dxa"/>
            <w:tcBorders>
              <w:top w:val="single" w:sz="4" w:space="0" w:color="000000"/>
              <w:left w:val="single" w:sz="4" w:space="0" w:color="000000"/>
              <w:bottom w:val="single" w:sz="4" w:space="0" w:color="000000"/>
              <w:right w:val="single" w:sz="4" w:space="0" w:color="000000"/>
            </w:tcBorders>
            <w:vAlign w:val="center"/>
          </w:tcPr>
          <w:p w14:paraId="2F3EF114"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4.4</w:t>
            </w:r>
          </w:p>
        </w:tc>
        <w:tc>
          <w:tcPr>
            <w:tcW w:w="1461" w:type="dxa"/>
            <w:tcBorders>
              <w:top w:val="single" w:sz="4" w:space="0" w:color="000000"/>
              <w:left w:val="single" w:sz="4" w:space="0" w:color="000000"/>
              <w:bottom w:val="single" w:sz="4" w:space="0" w:color="000000"/>
              <w:right w:val="single" w:sz="4" w:space="0" w:color="000000"/>
            </w:tcBorders>
            <w:vAlign w:val="center"/>
          </w:tcPr>
          <w:p w14:paraId="1CB3539A"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6.1</w:t>
            </w:r>
          </w:p>
        </w:tc>
      </w:tr>
      <w:tr w:rsidR="00FC5243" w14:paraId="151CC21D"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20467C15"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Специалисты высшего уровня квалификации</w:t>
            </w:r>
          </w:p>
        </w:tc>
        <w:tc>
          <w:tcPr>
            <w:tcW w:w="1453" w:type="dxa"/>
            <w:tcBorders>
              <w:top w:val="single" w:sz="4" w:space="0" w:color="000000"/>
              <w:left w:val="single" w:sz="4" w:space="0" w:color="000000"/>
              <w:bottom w:val="single" w:sz="4" w:space="0" w:color="000000"/>
              <w:right w:val="single" w:sz="4" w:space="0" w:color="000000"/>
            </w:tcBorders>
            <w:vAlign w:val="center"/>
          </w:tcPr>
          <w:p w14:paraId="4B12F00B"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17.9</w:t>
            </w:r>
          </w:p>
        </w:tc>
        <w:tc>
          <w:tcPr>
            <w:tcW w:w="1461" w:type="dxa"/>
            <w:tcBorders>
              <w:top w:val="single" w:sz="4" w:space="0" w:color="000000"/>
              <w:left w:val="single" w:sz="4" w:space="0" w:color="000000"/>
              <w:bottom w:val="single" w:sz="4" w:space="0" w:color="000000"/>
              <w:right w:val="single" w:sz="4" w:space="0" w:color="000000"/>
            </w:tcBorders>
            <w:vAlign w:val="center"/>
          </w:tcPr>
          <w:p w14:paraId="308FBB9A"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25.0</w:t>
            </w:r>
          </w:p>
        </w:tc>
      </w:tr>
      <w:tr w:rsidR="00FC5243" w14:paraId="17ADEE70"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0B4F8ABC"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Специалисты среднего уровня квалификации</w:t>
            </w:r>
          </w:p>
        </w:tc>
        <w:tc>
          <w:tcPr>
            <w:tcW w:w="1453" w:type="dxa"/>
            <w:tcBorders>
              <w:top w:val="single" w:sz="4" w:space="0" w:color="000000"/>
              <w:left w:val="single" w:sz="4" w:space="0" w:color="000000"/>
              <w:bottom w:val="single" w:sz="4" w:space="0" w:color="000000"/>
              <w:right w:val="single" w:sz="4" w:space="0" w:color="000000"/>
            </w:tcBorders>
            <w:vAlign w:val="center"/>
          </w:tcPr>
          <w:p w14:paraId="058A0A9E"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10.0</w:t>
            </w:r>
          </w:p>
        </w:tc>
        <w:tc>
          <w:tcPr>
            <w:tcW w:w="1461" w:type="dxa"/>
            <w:tcBorders>
              <w:top w:val="single" w:sz="4" w:space="0" w:color="000000"/>
              <w:left w:val="single" w:sz="4" w:space="0" w:color="000000"/>
              <w:bottom w:val="single" w:sz="4" w:space="0" w:color="000000"/>
              <w:right w:val="single" w:sz="4" w:space="0" w:color="000000"/>
            </w:tcBorders>
            <w:vAlign w:val="center"/>
          </w:tcPr>
          <w:p w14:paraId="1BC60B58"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13.9</w:t>
            </w:r>
          </w:p>
        </w:tc>
      </w:tr>
      <w:tr w:rsidR="00FC5243" w14:paraId="472CA6CF" w14:textId="77777777" w:rsidTr="00A06AFB">
        <w:trPr>
          <w:trHeight w:val="472"/>
        </w:trPr>
        <w:tc>
          <w:tcPr>
            <w:tcW w:w="6441" w:type="dxa"/>
            <w:tcBorders>
              <w:top w:val="single" w:sz="4" w:space="0" w:color="000000"/>
              <w:left w:val="single" w:sz="4" w:space="0" w:color="000000"/>
              <w:bottom w:val="single" w:sz="4" w:space="0" w:color="000000"/>
              <w:right w:val="single" w:sz="4" w:space="0" w:color="000000"/>
            </w:tcBorders>
            <w:vAlign w:val="center"/>
          </w:tcPr>
          <w:p w14:paraId="06A0EC66"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Служащие, занятые подготовкой информации, оформлением документации, учетом и обслуживанием</w:t>
            </w:r>
          </w:p>
        </w:tc>
        <w:tc>
          <w:tcPr>
            <w:tcW w:w="1453" w:type="dxa"/>
            <w:tcBorders>
              <w:top w:val="single" w:sz="4" w:space="0" w:color="000000"/>
              <w:left w:val="single" w:sz="4" w:space="0" w:color="000000"/>
              <w:bottom w:val="single" w:sz="4" w:space="0" w:color="000000"/>
              <w:right w:val="single" w:sz="4" w:space="0" w:color="000000"/>
            </w:tcBorders>
            <w:vAlign w:val="center"/>
          </w:tcPr>
          <w:p w14:paraId="6699B0E3"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2.1</w:t>
            </w:r>
          </w:p>
        </w:tc>
        <w:tc>
          <w:tcPr>
            <w:tcW w:w="1461" w:type="dxa"/>
            <w:tcBorders>
              <w:top w:val="single" w:sz="4" w:space="0" w:color="000000"/>
              <w:left w:val="single" w:sz="4" w:space="0" w:color="000000"/>
              <w:bottom w:val="single" w:sz="4" w:space="0" w:color="000000"/>
              <w:right w:val="single" w:sz="4" w:space="0" w:color="000000"/>
            </w:tcBorders>
            <w:vAlign w:val="center"/>
          </w:tcPr>
          <w:p w14:paraId="3123D845"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2.9</w:t>
            </w:r>
          </w:p>
        </w:tc>
      </w:tr>
      <w:tr w:rsidR="00FC5243" w14:paraId="4B27FDC6" w14:textId="77777777" w:rsidTr="00A06AFB">
        <w:trPr>
          <w:trHeight w:val="472"/>
        </w:trPr>
        <w:tc>
          <w:tcPr>
            <w:tcW w:w="6441" w:type="dxa"/>
            <w:tcBorders>
              <w:top w:val="single" w:sz="4" w:space="0" w:color="000000"/>
              <w:left w:val="single" w:sz="4" w:space="0" w:color="000000"/>
              <w:bottom w:val="single" w:sz="4" w:space="0" w:color="000000"/>
              <w:right w:val="single" w:sz="4" w:space="0" w:color="000000"/>
            </w:tcBorders>
            <w:vAlign w:val="center"/>
          </w:tcPr>
          <w:p w14:paraId="17082194"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Работники сферы обслуживания и торговли, охраны граждан и собственности</w:t>
            </w:r>
          </w:p>
        </w:tc>
        <w:tc>
          <w:tcPr>
            <w:tcW w:w="1453" w:type="dxa"/>
            <w:tcBorders>
              <w:top w:val="single" w:sz="4" w:space="0" w:color="000000"/>
              <w:left w:val="single" w:sz="4" w:space="0" w:color="000000"/>
              <w:bottom w:val="single" w:sz="4" w:space="0" w:color="000000"/>
              <w:right w:val="single" w:sz="4" w:space="0" w:color="000000"/>
            </w:tcBorders>
            <w:vAlign w:val="center"/>
          </w:tcPr>
          <w:p w14:paraId="2DFCDE18"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11.3</w:t>
            </w:r>
          </w:p>
        </w:tc>
        <w:tc>
          <w:tcPr>
            <w:tcW w:w="1461" w:type="dxa"/>
            <w:tcBorders>
              <w:top w:val="single" w:sz="4" w:space="0" w:color="000000"/>
              <w:left w:val="single" w:sz="4" w:space="0" w:color="000000"/>
              <w:bottom w:val="single" w:sz="4" w:space="0" w:color="000000"/>
              <w:right w:val="single" w:sz="4" w:space="0" w:color="000000"/>
            </w:tcBorders>
            <w:vAlign w:val="center"/>
          </w:tcPr>
          <w:p w14:paraId="58E10274"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15.7</w:t>
            </w:r>
          </w:p>
        </w:tc>
      </w:tr>
      <w:tr w:rsidR="00FC5243" w14:paraId="06239BFF"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583F6268" w14:textId="77777777" w:rsidR="00FC5243" w:rsidRDefault="00FC5243" w:rsidP="00A06AFB">
            <w:pPr>
              <w:widowControl w:val="0"/>
              <w:ind w:left="1440"/>
              <w:rPr>
                <w:rFonts w:ascii="Times New Roman" w:hAnsi="Times New Roman" w:cs="Times New Roman"/>
              </w:rPr>
            </w:pPr>
            <w:r>
              <w:rPr>
                <w:rFonts w:ascii="Times New Roman" w:hAnsi="Times New Roman" w:cs="Times New Roman"/>
              </w:rPr>
              <w:t>Продавцы</w:t>
            </w:r>
          </w:p>
        </w:tc>
        <w:tc>
          <w:tcPr>
            <w:tcW w:w="1453" w:type="dxa"/>
            <w:tcBorders>
              <w:top w:val="single" w:sz="4" w:space="0" w:color="000000"/>
              <w:left w:val="single" w:sz="4" w:space="0" w:color="000000"/>
              <w:bottom w:val="single" w:sz="4" w:space="0" w:color="000000"/>
              <w:right w:val="single" w:sz="4" w:space="0" w:color="000000"/>
            </w:tcBorders>
            <w:vAlign w:val="center"/>
          </w:tcPr>
          <w:p w14:paraId="12AF0295"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5.4</w:t>
            </w:r>
          </w:p>
        </w:tc>
        <w:tc>
          <w:tcPr>
            <w:tcW w:w="1461" w:type="dxa"/>
            <w:tcBorders>
              <w:top w:val="single" w:sz="4" w:space="0" w:color="000000"/>
              <w:left w:val="single" w:sz="4" w:space="0" w:color="000000"/>
              <w:bottom w:val="single" w:sz="4" w:space="0" w:color="000000"/>
              <w:right w:val="single" w:sz="4" w:space="0" w:color="000000"/>
            </w:tcBorders>
            <w:vAlign w:val="center"/>
          </w:tcPr>
          <w:p w14:paraId="5F02B697"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7.5</w:t>
            </w:r>
          </w:p>
        </w:tc>
      </w:tr>
      <w:tr w:rsidR="00FC5243" w14:paraId="38B89A41" w14:textId="77777777" w:rsidTr="00A06AFB">
        <w:trPr>
          <w:trHeight w:val="472"/>
        </w:trPr>
        <w:tc>
          <w:tcPr>
            <w:tcW w:w="6441" w:type="dxa"/>
            <w:tcBorders>
              <w:top w:val="single" w:sz="4" w:space="0" w:color="000000"/>
              <w:left w:val="single" w:sz="4" w:space="0" w:color="000000"/>
              <w:bottom w:val="single" w:sz="4" w:space="0" w:color="000000"/>
              <w:right w:val="single" w:sz="4" w:space="0" w:color="000000"/>
            </w:tcBorders>
            <w:vAlign w:val="center"/>
          </w:tcPr>
          <w:p w14:paraId="1F2430A6"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Квалифицированные работники сельского и лесного хозяйства, рыбоводства и рыболовства</w:t>
            </w:r>
          </w:p>
        </w:tc>
        <w:tc>
          <w:tcPr>
            <w:tcW w:w="1453" w:type="dxa"/>
            <w:tcBorders>
              <w:top w:val="single" w:sz="4" w:space="0" w:color="000000"/>
              <w:left w:val="single" w:sz="4" w:space="0" w:color="000000"/>
              <w:bottom w:val="single" w:sz="4" w:space="0" w:color="000000"/>
              <w:right w:val="single" w:sz="4" w:space="0" w:color="000000"/>
            </w:tcBorders>
            <w:vAlign w:val="center"/>
          </w:tcPr>
          <w:p w14:paraId="4A6B0DD2"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1.7</w:t>
            </w:r>
          </w:p>
        </w:tc>
        <w:tc>
          <w:tcPr>
            <w:tcW w:w="1461" w:type="dxa"/>
            <w:tcBorders>
              <w:top w:val="single" w:sz="4" w:space="0" w:color="000000"/>
              <w:left w:val="single" w:sz="4" w:space="0" w:color="000000"/>
              <w:bottom w:val="single" w:sz="4" w:space="0" w:color="000000"/>
              <w:right w:val="single" w:sz="4" w:space="0" w:color="000000"/>
            </w:tcBorders>
            <w:vAlign w:val="center"/>
          </w:tcPr>
          <w:p w14:paraId="07FE1001"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2.4</w:t>
            </w:r>
          </w:p>
        </w:tc>
      </w:tr>
      <w:tr w:rsidR="00FC5243" w14:paraId="271D7B7A" w14:textId="77777777" w:rsidTr="00A06AFB">
        <w:trPr>
          <w:trHeight w:val="472"/>
        </w:trPr>
        <w:tc>
          <w:tcPr>
            <w:tcW w:w="6441" w:type="dxa"/>
            <w:tcBorders>
              <w:top w:val="single" w:sz="4" w:space="0" w:color="000000"/>
              <w:left w:val="single" w:sz="4" w:space="0" w:color="000000"/>
              <w:bottom w:val="single" w:sz="4" w:space="0" w:color="000000"/>
              <w:right w:val="single" w:sz="4" w:space="0" w:color="000000"/>
            </w:tcBorders>
            <w:vAlign w:val="center"/>
          </w:tcPr>
          <w:p w14:paraId="1D0289AE"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Квалифицированные рабочие промышленности, строительства, транспорта и рабочие родственных занятий</w:t>
            </w:r>
          </w:p>
        </w:tc>
        <w:tc>
          <w:tcPr>
            <w:tcW w:w="1453" w:type="dxa"/>
            <w:tcBorders>
              <w:top w:val="single" w:sz="4" w:space="0" w:color="000000"/>
              <w:left w:val="single" w:sz="4" w:space="0" w:color="000000"/>
              <w:bottom w:val="single" w:sz="4" w:space="0" w:color="000000"/>
              <w:right w:val="single" w:sz="4" w:space="0" w:color="000000"/>
            </w:tcBorders>
            <w:vAlign w:val="center"/>
          </w:tcPr>
          <w:p w14:paraId="0568986E"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9.7</w:t>
            </w:r>
          </w:p>
        </w:tc>
        <w:tc>
          <w:tcPr>
            <w:tcW w:w="1461" w:type="dxa"/>
            <w:tcBorders>
              <w:top w:val="single" w:sz="4" w:space="0" w:color="000000"/>
              <w:left w:val="single" w:sz="4" w:space="0" w:color="000000"/>
              <w:bottom w:val="single" w:sz="4" w:space="0" w:color="000000"/>
              <w:right w:val="single" w:sz="4" w:space="0" w:color="000000"/>
            </w:tcBorders>
            <w:vAlign w:val="center"/>
          </w:tcPr>
          <w:p w14:paraId="18AC5AA0"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13.4</w:t>
            </w:r>
          </w:p>
        </w:tc>
      </w:tr>
      <w:tr w:rsidR="00FC5243" w14:paraId="32BF46B1" w14:textId="77777777" w:rsidTr="00A06AFB">
        <w:trPr>
          <w:trHeight w:val="472"/>
        </w:trPr>
        <w:tc>
          <w:tcPr>
            <w:tcW w:w="6441" w:type="dxa"/>
            <w:tcBorders>
              <w:top w:val="single" w:sz="4" w:space="0" w:color="000000"/>
              <w:left w:val="single" w:sz="4" w:space="0" w:color="000000"/>
              <w:bottom w:val="single" w:sz="4" w:space="0" w:color="000000"/>
              <w:right w:val="single" w:sz="4" w:space="0" w:color="000000"/>
            </w:tcBorders>
            <w:vAlign w:val="center"/>
          </w:tcPr>
          <w:p w14:paraId="3116B882"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Операторы производственных установок и машин, сборщики и водители</w:t>
            </w:r>
          </w:p>
        </w:tc>
        <w:tc>
          <w:tcPr>
            <w:tcW w:w="1453" w:type="dxa"/>
            <w:tcBorders>
              <w:top w:val="single" w:sz="4" w:space="0" w:color="000000"/>
              <w:left w:val="single" w:sz="4" w:space="0" w:color="000000"/>
              <w:bottom w:val="single" w:sz="4" w:space="0" w:color="000000"/>
              <w:right w:val="single" w:sz="4" w:space="0" w:color="000000"/>
            </w:tcBorders>
            <w:vAlign w:val="center"/>
          </w:tcPr>
          <w:p w14:paraId="4FB12E1D"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9.3</w:t>
            </w:r>
          </w:p>
        </w:tc>
        <w:tc>
          <w:tcPr>
            <w:tcW w:w="1461" w:type="dxa"/>
            <w:tcBorders>
              <w:top w:val="single" w:sz="4" w:space="0" w:color="000000"/>
              <w:left w:val="single" w:sz="4" w:space="0" w:color="000000"/>
              <w:bottom w:val="single" w:sz="4" w:space="0" w:color="000000"/>
              <w:right w:val="single" w:sz="4" w:space="0" w:color="000000"/>
            </w:tcBorders>
            <w:vAlign w:val="center"/>
          </w:tcPr>
          <w:p w14:paraId="5B42F509"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12.9</w:t>
            </w:r>
          </w:p>
        </w:tc>
      </w:tr>
      <w:tr w:rsidR="00FC5243" w14:paraId="19B8A0F1"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6F07C7C5" w14:textId="77777777" w:rsidR="00FC5243" w:rsidRDefault="00FC5243" w:rsidP="00A06AFB">
            <w:pPr>
              <w:widowControl w:val="0"/>
              <w:ind w:left="1440"/>
              <w:rPr>
                <w:rFonts w:ascii="Times New Roman" w:hAnsi="Times New Roman" w:cs="Times New Roman"/>
              </w:rPr>
            </w:pPr>
            <w:r>
              <w:rPr>
                <w:rFonts w:ascii="Times New Roman" w:hAnsi="Times New Roman" w:cs="Times New Roman"/>
              </w:rPr>
              <w:t>Водители и операторы подвижного оборудования</w:t>
            </w:r>
          </w:p>
        </w:tc>
        <w:tc>
          <w:tcPr>
            <w:tcW w:w="1453" w:type="dxa"/>
            <w:tcBorders>
              <w:top w:val="single" w:sz="4" w:space="0" w:color="000000"/>
              <w:left w:val="single" w:sz="4" w:space="0" w:color="000000"/>
              <w:bottom w:val="single" w:sz="4" w:space="0" w:color="000000"/>
              <w:right w:val="single" w:sz="4" w:space="0" w:color="000000"/>
            </w:tcBorders>
            <w:vAlign w:val="center"/>
          </w:tcPr>
          <w:p w14:paraId="1887B7BF"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6.8</w:t>
            </w:r>
          </w:p>
        </w:tc>
        <w:tc>
          <w:tcPr>
            <w:tcW w:w="1461" w:type="dxa"/>
            <w:tcBorders>
              <w:top w:val="single" w:sz="4" w:space="0" w:color="000000"/>
              <w:left w:val="single" w:sz="4" w:space="0" w:color="000000"/>
              <w:bottom w:val="single" w:sz="4" w:space="0" w:color="000000"/>
              <w:right w:val="single" w:sz="4" w:space="0" w:color="000000"/>
            </w:tcBorders>
            <w:vAlign w:val="center"/>
          </w:tcPr>
          <w:p w14:paraId="29A0D282"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9.4</w:t>
            </w:r>
          </w:p>
        </w:tc>
      </w:tr>
      <w:tr w:rsidR="00FC5243" w14:paraId="10630ACE" w14:textId="77777777" w:rsidTr="00A06AFB">
        <w:trPr>
          <w:trHeight w:val="256"/>
        </w:trPr>
        <w:tc>
          <w:tcPr>
            <w:tcW w:w="6441" w:type="dxa"/>
            <w:tcBorders>
              <w:top w:val="single" w:sz="4" w:space="0" w:color="000000"/>
              <w:left w:val="single" w:sz="4" w:space="0" w:color="000000"/>
              <w:bottom w:val="single" w:sz="4" w:space="0" w:color="000000"/>
              <w:right w:val="single" w:sz="4" w:space="0" w:color="000000"/>
            </w:tcBorders>
            <w:vAlign w:val="center"/>
          </w:tcPr>
          <w:p w14:paraId="5B02FD9D" w14:textId="77777777" w:rsidR="00FC5243" w:rsidRDefault="00FC5243" w:rsidP="00A06AFB">
            <w:pPr>
              <w:widowControl w:val="0"/>
              <w:ind w:left="720"/>
              <w:rPr>
                <w:rFonts w:ascii="Times New Roman" w:hAnsi="Times New Roman" w:cs="Times New Roman"/>
              </w:rPr>
            </w:pPr>
            <w:r>
              <w:rPr>
                <w:rFonts w:ascii="Times New Roman" w:hAnsi="Times New Roman" w:cs="Times New Roman"/>
              </w:rPr>
              <w:t>Неквалифицированные рабочие</w:t>
            </w:r>
          </w:p>
        </w:tc>
        <w:tc>
          <w:tcPr>
            <w:tcW w:w="1453" w:type="dxa"/>
            <w:tcBorders>
              <w:top w:val="single" w:sz="4" w:space="0" w:color="000000"/>
              <w:left w:val="single" w:sz="4" w:space="0" w:color="000000"/>
              <w:bottom w:val="single" w:sz="4" w:space="0" w:color="000000"/>
              <w:right w:val="single" w:sz="4" w:space="0" w:color="000000"/>
            </w:tcBorders>
            <w:vAlign w:val="center"/>
          </w:tcPr>
          <w:p w14:paraId="1CC8557E"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5.6</w:t>
            </w:r>
          </w:p>
        </w:tc>
        <w:tc>
          <w:tcPr>
            <w:tcW w:w="1461" w:type="dxa"/>
            <w:tcBorders>
              <w:top w:val="single" w:sz="4" w:space="0" w:color="000000"/>
              <w:left w:val="single" w:sz="4" w:space="0" w:color="000000"/>
              <w:bottom w:val="single" w:sz="4" w:space="0" w:color="000000"/>
              <w:right w:val="single" w:sz="4" w:space="0" w:color="000000"/>
            </w:tcBorders>
            <w:vAlign w:val="center"/>
          </w:tcPr>
          <w:p w14:paraId="4C847400" w14:textId="77777777" w:rsidR="00FC5243" w:rsidRDefault="00FC5243" w:rsidP="00A06AFB">
            <w:pPr>
              <w:widowControl w:val="0"/>
              <w:jc w:val="center"/>
              <w:rPr>
                <w:rFonts w:ascii="Times New Roman" w:hAnsi="Times New Roman" w:cs="Times New Roman"/>
              </w:rPr>
            </w:pPr>
            <w:r>
              <w:rPr>
                <w:rFonts w:ascii="Times New Roman" w:hAnsi="Times New Roman" w:cs="Times New Roman"/>
              </w:rPr>
              <w:t>7.8</w:t>
            </w:r>
          </w:p>
        </w:tc>
      </w:tr>
    </w:tbl>
    <w:p w14:paraId="42A23C67" w14:textId="77777777" w:rsidR="00FC5243" w:rsidRDefault="00FC5243" w:rsidP="00FC5243">
      <w:r>
        <w:t>Источник: Росстат</w:t>
      </w:r>
    </w:p>
    <w:p w14:paraId="64F424C4" w14:textId="77777777" w:rsidR="00FC5243" w:rsidRDefault="00FC5243" w:rsidP="00FC5243">
      <w:pPr>
        <w:spacing w:line="360" w:lineRule="auto"/>
        <w:ind w:firstLine="720"/>
        <w:jc w:val="both"/>
        <w:rPr>
          <w:rFonts w:ascii="Times New Roman" w:hAnsi="Times New Roman"/>
          <w:sz w:val="28"/>
          <w:szCs w:val="28"/>
        </w:rPr>
      </w:pPr>
    </w:p>
    <w:p w14:paraId="05335BE2" w14:textId="77777777" w:rsidR="00FC5243" w:rsidRPr="00FC5243" w:rsidRDefault="00FC5243" w:rsidP="00FC5243">
      <w:pPr>
        <w:spacing w:line="360" w:lineRule="auto"/>
        <w:ind w:firstLine="567"/>
        <w:jc w:val="both"/>
      </w:pPr>
      <w:r w:rsidRPr="00FC5243">
        <w:rPr>
          <w:rFonts w:ascii="Times New Roman" w:hAnsi="Times New Roman"/>
          <w:sz w:val="28"/>
          <w:szCs w:val="28"/>
        </w:rPr>
        <w:t xml:space="preserve">При такой структуре занятости - дефицит трудовых ресурсов в российской экономике, о котором там много говорят в последнее время, действительно может наступить, но только если в течение ближайших </w:t>
      </w:r>
      <w:proofErr w:type="gramStart"/>
      <w:r w:rsidRPr="00FC5243">
        <w:rPr>
          <w:rFonts w:ascii="Times New Roman" w:hAnsi="Times New Roman"/>
          <w:sz w:val="28"/>
          <w:szCs w:val="28"/>
        </w:rPr>
        <w:t>10-15</w:t>
      </w:r>
      <w:proofErr w:type="gramEnd"/>
      <w:r w:rsidRPr="00FC5243">
        <w:rPr>
          <w:rFonts w:ascii="Times New Roman" w:hAnsi="Times New Roman"/>
          <w:sz w:val="28"/>
          <w:szCs w:val="28"/>
        </w:rPr>
        <w:t xml:space="preserve"> лет в ней не произойдет каких-либо серьезных изменений. На наш взгляд, такое развитие событий маловероятно: структура производства и спроса на труд буд</w:t>
      </w:r>
      <w:r w:rsidRPr="00FC5243">
        <w:rPr>
          <w:rFonts w:ascii="Times New Roman" w:eastAsia="Noto Serif CJK SC" w:hAnsi="Times New Roman" w:cs="Lohit Devanagari"/>
          <w:kern w:val="2"/>
          <w:sz w:val="28"/>
          <w:szCs w:val="28"/>
          <w:lang w:eastAsia="zh-CN" w:bidi="hi-IN"/>
        </w:rPr>
        <w:t>у</w:t>
      </w:r>
      <w:r w:rsidRPr="00FC5243">
        <w:rPr>
          <w:rFonts w:ascii="Times New Roman" w:hAnsi="Times New Roman"/>
          <w:sz w:val="28"/>
          <w:szCs w:val="28"/>
        </w:rPr>
        <w:t>т меняться либо под воздействием роста инвестиций и модернизации производства, либо за счет активной выбраковки неэффективных производств. При этом темп изменений во многом будет определяться эффективностью государственной инвестиционной и инновационной политики.</w:t>
      </w:r>
    </w:p>
    <w:p w14:paraId="1E589710" w14:textId="77777777" w:rsidR="00FC5243" w:rsidRPr="00FC5243" w:rsidRDefault="00FC5243" w:rsidP="00FC5243">
      <w:pPr>
        <w:spacing w:line="360" w:lineRule="auto"/>
        <w:ind w:firstLine="567"/>
        <w:jc w:val="both"/>
      </w:pPr>
      <w:r w:rsidRPr="00FC5243">
        <w:rPr>
          <w:rFonts w:ascii="Times New Roman" w:hAnsi="Times New Roman"/>
          <w:sz w:val="28"/>
          <w:szCs w:val="28"/>
        </w:rPr>
        <w:t>Таким образом, неизбежное в средне- и тем более долгосрочной перспективе снижение спроса на низкоквалифицированный и поддающийся автоматизации труд, с одной стороны, приведет к необходимости смены мест работы для большого числа работников, с другой – будет способствовать постепенному преодолению демографических вызовов без необходимости дополнительного привлечения иностранных трудовых мигрантов.</w:t>
      </w:r>
    </w:p>
    <w:p w14:paraId="47A80FDD" w14:textId="77777777" w:rsidR="00FC5243" w:rsidRDefault="00FC5243" w:rsidP="00FC5243">
      <w:pPr>
        <w:spacing w:line="360" w:lineRule="auto"/>
        <w:ind w:firstLine="567"/>
        <w:jc w:val="both"/>
      </w:pPr>
      <w:r w:rsidRPr="00FC5243">
        <w:rPr>
          <w:rFonts w:ascii="Times New Roman" w:hAnsi="Times New Roman"/>
          <w:sz w:val="28"/>
          <w:szCs w:val="28"/>
        </w:rPr>
        <w:t xml:space="preserve">С точки зрения требований к системе образования можно сказать о потенциале ее постепенного подстраивания под требования перспективной структуры занятости. В </w:t>
      </w:r>
      <w:r w:rsidRPr="00FC5243">
        <w:rPr>
          <w:rFonts w:ascii="Times New Roman" w:eastAsia="Noto Serif CJK SC" w:hAnsi="Times New Roman" w:cs="Lohit Devanagari"/>
          <w:kern w:val="2"/>
          <w:sz w:val="28"/>
          <w:szCs w:val="28"/>
          <w:lang w:eastAsia="zh-CN" w:bidi="hi-IN"/>
        </w:rPr>
        <w:t>этом случае</w:t>
      </w:r>
      <w:r w:rsidRPr="00FC5243">
        <w:rPr>
          <w:rFonts w:ascii="Times New Roman" w:hAnsi="Times New Roman"/>
          <w:sz w:val="28"/>
          <w:szCs w:val="28"/>
        </w:rPr>
        <w:t xml:space="preserve"> </w:t>
      </w:r>
      <w:r w:rsidRPr="00FC5243">
        <w:rPr>
          <w:rFonts w:ascii="Times New Roman" w:eastAsia="Noto Serif CJK SC" w:hAnsi="Times New Roman" w:cs="Lohit Devanagari"/>
          <w:kern w:val="2"/>
          <w:sz w:val="28"/>
          <w:szCs w:val="28"/>
          <w:lang w:eastAsia="zh-CN" w:bidi="hi-IN"/>
        </w:rPr>
        <w:t>при снижении</w:t>
      </w:r>
      <w:r w:rsidRPr="00FC5243">
        <w:rPr>
          <w:rFonts w:ascii="Times New Roman" w:hAnsi="Times New Roman"/>
          <w:sz w:val="28"/>
          <w:szCs w:val="28"/>
        </w:rPr>
        <w:t xml:space="preserve"> спроса на низкоквалифицированный труд и некоторые другие профессии необходимые трансформации в структуре занятости произойдут естественным образом и не приведут к социальным потрясениям.</w:t>
      </w:r>
    </w:p>
    <w:p w14:paraId="5D468D44" w14:textId="1CA35EC9" w:rsidR="00BF15CC" w:rsidRPr="006A2A83" w:rsidRDefault="00BF15CC">
      <w:pPr>
        <w:rPr>
          <w:rFonts w:ascii="Times New Roman" w:hAnsi="Times New Roman"/>
          <w:sz w:val="24"/>
          <w:szCs w:val="24"/>
        </w:rPr>
      </w:pPr>
      <w:r>
        <w:rPr>
          <w:rFonts w:ascii="Times New Roman" w:hAnsi="Times New Roman"/>
          <w:sz w:val="24"/>
          <w:szCs w:val="24"/>
        </w:rPr>
        <w:br w:type="page"/>
      </w:r>
    </w:p>
    <w:p w14:paraId="4AE85A73" w14:textId="5357AFF5" w:rsidR="00EB4B0F" w:rsidRPr="00EB4B0F" w:rsidRDefault="00EB4B0F" w:rsidP="00EB4B0F">
      <w:pPr>
        <w:pStyle w:val="1"/>
        <w:numPr>
          <w:ilvl w:val="0"/>
          <w:numId w:val="14"/>
        </w:numPr>
        <w:rPr>
          <w:rFonts w:ascii="Times New Roman" w:hAnsi="Times New Roman" w:cs="Times New Roman"/>
          <w:color w:val="auto"/>
          <w:lang w:eastAsia="ru-RU"/>
        </w:rPr>
      </w:pPr>
      <w:bookmarkStart w:id="4" w:name="_Toc67417869"/>
      <w:r w:rsidRPr="00EB4B0F">
        <w:rPr>
          <w:rFonts w:ascii="Times New Roman" w:hAnsi="Times New Roman" w:cs="Times New Roman"/>
          <w:color w:val="auto"/>
          <w:lang w:eastAsia="ru-RU"/>
        </w:rPr>
        <w:t>Социальные расходы бюджетной системы</w:t>
      </w:r>
      <w:bookmarkEnd w:id="4"/>
    </w:p>
    <w:p w14:paraId="318218CE" w14:textId="47A71AB8" w:rsidR="00FC5243" w:rsidRDefault="00EB4B0F" w:rsidP="00FC5243">
      <w:pPr>
        <w:spacing w:before="120" w:after="120" w:line="360" w:lineRule="auto"/>
        <w:ind w:firstLine="567"/>
        <w:jc w:val="both"/>
        <w:rPr>
          <w:rFonts w:ascii="Times New Roman" w:hAnsi="Times New Roman" w:cs="Times New Roman"/>
          <w:iCs/>
          <w:sz w:val="28"/>
          <w:szCs w:val="28"/>
        </w:rPr>
      </w:pPr>
      <w:r w:rsidRPr="00EB4B0F">
        <w:rPr>
          <w:rFonts w:ascii="Calibri" w:eastAsia="Times New Roman" w:hAnsi="Calibri" w:cs="Calibri"/>
          <w:color w:val="333333"/>
          <w:sz w:val="24"/>
          <w:szCs w:val="24"/>
          <w:lang w:eastAsia="ru-RU"/>
        </w:rPr>
        <w:t> </w:t>
      </w:r>
      <w:r w:rsidR="00FC5243">
        <w:rPr>
          <w:rFonts w:ascii="Times New Roman" w:hAnsi="Times New Roman" w:cs="Times New Roman"/>
          <w:iCs/>
          <w:sz w:val="28"/>
          <w:szCs w:val="28"/>
        </w:rPr>
        <w:t xml:space="preserve">Важнейшей задачей государства является рациональное перераспределение доходов, способствующее устойчивому экономическому росту. При этом государство как экономический агент уже в течение почти двух десятилетий оперирует достаточными финансовыми ресурсами для расширения списка задач бюджетной политики, который независимо от экономической конъюнктуры все эти годы фактически исчерпывался двумя пунктами: отсутствием бюджетного дефицита и накоплением резервных фондов. </w:t>
      </w:r>
      <w:r w:rsidR="00FC5243">
        <w:rPr>
          <w:rFonts w:ascii="Times New Roman" w:hAnsi="Times New Roman" w:cs="Times New Roman"/>
          <w:sz w:val="28"/>
          <w:szCs w:val="28"/>
        </w:rPr>
        <w:t>Т</w:t>
      </w:r>
      <w:r w:rsidR="00FC5243">
        <w:rPr>
          <w:rFonts w:ascii="Times New Roman" w:hAnsi="Times New Roman" w:cs="Times New Roman"/>
          <w:iCs/>
          <w:sz w:val="28"/>
          <w:szCs w:val="28"/>
        </w:rPr>
        <w:t>ак, например, в 2019 г. доходы бюджетной системы превысили 35% к ВВП, расходы – 33%</w:t>
      </w:r>
      <w:r w:rsidR="00FC5243">
        <w:rPr>
          <w:rStyle w:val="aff"/>
          <w:rFonts w:ascii="Times New Roman" w:hAnsi="Times New Roman" w:cs="Times New Roman"/>
          <w:iCs/>
          <w:sz w:val="28"/>
          <w:szCs w:val="28"/>
        </w:rPr>
        <w:footnoteReference w:id="11"/>
      </w:r>
      <w:r w:rsidR="00FC5243">
        <w:rPr>
          <w:rFonts w:ascii="Times New Roman" w:hAnsi="Times New Roman" w:cs="Times New Roman"/>
          <w:iCs/>
          <w:sz w:val="28"/>
          <w:szCs w:val="28"/>
        </w:rPr>
        <w:t xml:space="preserve">, и это стандартная ситуация для последних двух десятилетий (2020 г. здесь не рассматривается из-за очевидной аномальности произошедших в этом году событий). </w:t>
      </w:r>
    </w:p>
    <w:p w14:paraId="66FE6ECD" w14:textId="77777777" w:rsidR="00FC5243" w:rsidRDefault="00FC5243" w:rsidP="00FC5243">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На рис. </w:t>
      </w:r>
      <w:proofErr w:type="gramStart"/>
      <w:r>
        <w:rPr>
          <w:rFonts w:ascii="Times New Roman" w:hAnsi="Times New Roman" w:cs="Times New Roman"/>
          <w:iCs/>
          <w:sz w:val="28"/>
          <w:szCs w:val="28"/>
        </w:rPr>
        <w:t>4.1  показаны</w:t>
      </w:r>
      <w:proofErr w:type="gramEnd"/>
      <w:r>
        <w:rPr>
          <w:rFonts w:ascii="Times New Roman" w:hAnsi="Times New Roman" w:cs="Times New Roman"/>
          <w:iCs/>
          <w:sz w:val="28"/>
          <w:szCs w:val="28"/>
        </w:rPr>
        <w:t xml:space="preserve"> социальные расходы расширенного правительства в большей части стран ОЭСР и России. При этом к расходам расширенного правительства, если рассматривать Россию, для сопоставимости с данными ОЭСР отнесены расходы консолидированного бюджета и бюджетов государственных внебюджетных фондов, а к социальным расходам — расходы по статьям «Социальная политика», «Здравоохранение» и «Образование». Таким образом, социальные в данном случае включают в себя как непосредственно денежные выплаты (это прежде всего пенсии, а также другие виды пособий)</w:t>
      </w:r>
      <w:proofErr w:type="gramStart"/>
      <w:r>
        <w:rPr>
          <w:rFonts w:ascii="Times New Roman" w:hAnsi="Times New Roman" w:cs="Times New Roman"/>
          <w:iCs/>
          <w:sz w:val="28"/>
          <w:szCs w:val="28"/>
        </w:rPr>
        <w:t>.</w:t>
      </w:r>
      <w:proofErr w:type="gramEnd"/>
      <w:r>
        <w:rPr>
          <w:rFonts w:ascii="Times New Roman" w:hAnsi="Times New Roman" w:cs="Times New Roman"/>
          <w:iCs/>
          <w:sz w:val="28"/>
          <w:szCs w:val="28"/>
        </w:rPr>
        <w:t xml:space="preserve"> так и социальные трансферты в натуральной форме, состоящие главным образом из финансируемых государством услуг здравоохранения и образования.</w:t>
      </w:r>
    </w:p>
    <w:p w14:paraId="49ED91C1" w14:textId="77777777" w:rsidR="00FC5243" w:rsidRDefault="00FC5243" w:rsidP="00FC5243">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В 2019 г. в России социальные расходы расширенного правительства составили 18.8% (следует отметить, что в последние 15 лет эта стабильно возрастает), достигнув уровня, характерного для большей части стран Восточной Европы (за исключением Польши), по многим параметрам сопоставимым с Россией.</w:t>
      </w:r>
    </w:p>
    <w:p w14:paraId="39FD6671" w14:textId="77777777" w:rsidR="00FC5243" w:rsidRDefault="00FC5243" w:rsidP="00FC5243">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anchor distT="0" distB="0" distL="0" distR="0" simplePos="0" relativeHeight="251676672" behindDoc="0" locked="0" layoutInCell="0" allowOverlap="1" wp14:anchorId="39B828B7" wp14:editId="68FEC972">
            <wp:simplePos x="0" y="0"/>
            <wp:positionH relativeFrom="column">
              <wp:align>center</wp:align>
            </wp:positionH>
            <wp:positionV relativeFrom="paragraph">
              <wp:posOffset>635</wp:posOffset>
            </wp:positionV>
            <wp:extent cx="3870960" cy="4297680"/>
            <wp:effectExtent l="0" t="0" r="0" b="0"/>
            <wp:wrapSquare wrapText="largest"/>
            <wp:docPr id="4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pic:cNvPicPr>
                      <a:picLocks noChangeAspect="1" noChangeArrowheads="1"/>
                    </pic:cNvPicPr>
                  </pic:nvPicPr>
                  <pic:blipFill>
                    <a:blip r:embed="rId17"/>
                    <a:stretch>
                      <a:fillRect/>
                    </a:stretch>
                  </pic:blipFill>
                  <pic:spPr bwMode="auto">
                    <a:xfrm>
                      <a:off x="0" y="0"/>
                      <a:ext cx="3870960" cy="4297680"/>
                    </a:xfrm>
                    <a:prstGeom prst="rect">
                      <a:avLst/>
                    </a:prstGeom>
                  </pic:spPr>
                </pic:pic>
              </a:graphicData>
            </a:graphic>
          </wp:anchor>
        </w:drawing>
      </w:r>
    </w:p>
    <w:p w14:paraId="494FC1E9" w14:textId="77777777" w:rsidR="00FC5243" w:rsidRDefault="00FC5243" w:rsidP="00FC5243">
      <w:pPr>
        <w:tabs>
          <w:tab w:val="left" w:pos="2091"/>
        </w:tabs>
        <w:rPr>
          <w:rFonts w:ascii="Times New Roman" w:hAnsi="Times New Roman" w:cs="Times New Roman"/>
          <w:sz w:val="28"/>
          <w:szCs w:val="28"/>
        </w:rPr>
      </w:pPr>
    </w:p>
    <w:p w14:paraId="13CEDEB7" w14:textId="77777777" w:rsidR="00FC5243" w:rsidRDefault="00FC5243" w:rsidP="00FC5243">
      <w:pPr>
        <w:tabs>
          <w:tab w:val="left" w:pos="2091"/>
        </w:tabs>
        <w:rPr>
          <w:rFonts w:ascii="Times New Roman" w:hAnsi="Times New Roman" w:cs="Times New Roman"/>
          <w:sz w:val="28"/>
          <w:szCs w:val="28"/>
        </w:rPr>
      </w:pPr>
    </w:p>
    <w:p w14:paraId="0242C882" w14:textId="77777777" w:rsidR="00FC5243" w:rsidRDefault="00FC5243" w:rsidP="00FC5243">
      <w:pPr>
        <w:tabs>
          <w:tab w:val="left" w:pos="2091"/>
        </w:tabs>
        <w:rPr>
          <w:rFonts w:ascii="Times New Roman" w:hAnsi="Times New Roman" w:cs="Times New Roman"/>
          <w:sz w:val="28"/>
          <w:szCs w:val="28"/>
        </w:rPr>
      </w:pPr>
    </w:p>
    <w:p w14:paraId="5712D547" w14:textId="77777777" w:rsidR="00FC5243" w:rsidRDefault="00FC5243" w:rsidP="00FC5243">
      <w:pPr>
        <w:tabs>
          <w:tab w:val="left" w:pos="2091"/>
        </w:tabs>
        <w:rPr>
          <w:rFonts w:ascii="Times New Roman" w:hAnsi="Times New Roman" w:cs="Times New Roman"/>
          <w:sz w:val="28"/>
          <w:szCs w:val="28"/>
        </w:rPr>
      </w:pPr>
    </w:p>
    <w:p w14:paraId="088CEB87" w14:textId="77777777" w:rsidR="00FC5243" w:rsidRDefault="00FC5243" w:rsidP="00FC5243">
      <w:pPr>
        <w:tabs>
          <w:tab w:val="left" w:pos="2091"/>
        </w:tabs>
        <w:rPr>
          <w:rFonts w:ascii="Times New Roman" w:hAnsi="Times New Roman" w:cs="Times New Roman"/>
          <w:sz w:val="28"/>
          <w:szCs w:val="28"/>
        </w:rPr>
      </w:pPr>
    </w:p>
    <w:p w14:paraId="21343F49" w14:textId="77777777" w:rsidR="00FC5243" w:rsidRDefault="00FC5243" w:rsidP="00FC5243">
      <w:pPr>
        <w:tabs>
          <w:tab w:val="left" w:pos="2091"/>
        </w:tabs>
        <w:rPr>
          <w:rFonts w:ascii="Times New Roman" w:hAnsi="Times New Roman" w:cs="Times New Roman"/>
          <w:sz w:val="28"/>
          <w:szCs w:val="28"/>
        </w:rPr>
      </w:pPr>
    </w:p>
    <w:p w14:paraId="6C6C918F" w14:textId="77777777" w:rsidR="00FC5243" w:rsidRDefault="00FC5243" w:rsidP="00FC5243">
      <w:pPr>
        <w:tabs>
          <w:tab w:val="left" w:pos="2091"/>
        </w:tabs>
        <w:rPr>
          <w:rFonts w:ascii="Times New Roman" w:hAnsi="Times New Roman" w:cs="Times New Roman"/>
          <w:sz w:val="28"/>
          <w:szCs w:val="28"/>
        </w:rPr>
      </w:pPr>
    </w:p>
    <w:p w14:paraId="1C190413" w14:textId="77777777" w:rsidR="00FC5243" w:rsidRDefault="00FC5243" w:rsidP="00FC5243">
      <w:pPr>
        <w:tabs>
          <w:tab w:val="left" w:pos="2091"/>
        </w:tabs>
        <w:rPr>
          <w:rFonts w:ascii="Times New Roman" w:hAnsi="Times New Roman" w:cs="Times New Roman"/>
          <w:sz w:val="28"/>
          <w:szCs w:val="28"/>
        </w:rPr>
      </w:pPr>
    </w:p>
    <w:p w14:paraId="06BE20C0" w14:textId="77777777" w:rsidR="00FC5243" w:rsidRDefault="00FC5243" w:rsidP="00FC5243">
      <w:pPr>
        <w:tabs>
          <w:tab w:val="left" w:pos="2091"/>
        </w:tabs>
        <w:rPr>
          <w:rFonts w:ascii="Times New Roman" w:hAnsi="Times New Roman" w:cs="Times New Roman"/>
          <w:sz w:val="28"/>
          <w:szCs w:val="28"/>
        </w:rPr>
      </w:pPr>
    </w:p>
    <w:p w14:paraId="46FB230B" w14:textId="77777777" w:rsidR="00FC5243" w:rsidRDefault="00FC5243" w:rsidP="00FC5243">
      <w:pPr>
        <w:tabs>
          <w:tab w:val="left" w:pos="2091"/>
        </w:tabs>
        <w:rPr>
          <w:rFonts w:ascii="Times New Roman" w:hAnsi="Times New Roman" w:cs="Times New Roman"/>
          <w:sz w:val="28"/>
          <w:szCs w:val="28"/>
        </w:rPr>
      </w:pPr>
    </w:p>
    <w:p w14:paraId="2B7C26CD" w14:textId="77777777" w:rsidR="00FC5243" w:rsidRDefault="00FC5243" w:rsidP="00FC5243">
      <w:pPr>
        <w:tabs>
          <w:tab w:val="left" w:pos="2091"/>
        </w:tabs>
        <w:rPr>
          <w:rFonts w:ascii="Times New Roman" w:hAnsi="Times New Roman" w:cs="Times New Roman"/>
          <w:sz w:val="28"/>
          <w:szCs w:val="28"/>
        </w:rPr>
      </w:pPr>
    </w:p>
    <w:p w14:paraId="54E95D17" w14:textId="77777777" w:rsidR="00FC5243" w:rsidRDefault="00FC5243" w:rsidP="00FC5243">
      <w:pPr>
        <w:tabs>
          <w:tab w:val="left" w:pos="2091"/>
        </w:tabs>
        <w:rPr>
          <w:rFonts w:ascii="Times New Roman" w:hAnsi="Times New Roman" w:cs="Times New Roman"/>
          <w:sz w:val="28"/>
          <w:szCs w:val="28"/>
        </w:rPr>
      </w:pPr>
    </w:p>
    <w:p w14:paraId="17A5144C" w14:textId="77777777" w:rsidR="00FC5243" w:rsidRDefault="00FC5243" w:rsidP="00FC5243">
      <w:pPr>
        <w:tabs>
          <w:tab w:val="left" w:pos="2091"/>
        </w:tabs>
        <w:rPr>
          <w:rFonts w:ascii="Times New Roman" w:hAnsi="Times New Roman" w:cs="Times New Roman"/>
          <w:sz w:val="28"/>
          <w:szCs w:val="28"/>
        </w:rPr>
      </w:pPr>
    </w:p>
    <w:p w14:paraId="33087264" w14:textId="77777777" w:rsidR="00FC5243" w:rsidRDefault="00FC5243" w:rsidP="00FC5243">
      <w:pPr>
        <w:tabs>
          <w:tab w:val="left" w:pos="2091"/>
        </w:tabs>
        <w:jc w:val="center"/>
      </w:pPr>
      <w:r>
        <w:rPr>
          <w:rFonts w:ascii="Times New Roman" w:hAnsi="Times New Roman" w:cs="Times New Roman"/>
          <w:sz w:val="28"/>
          <w:szCs w:val="28"/>
        </w:rPr>
        <w:t>Рис. 4.1 Социальные расходы расширенного правительства в странах ОЭСР и России в 2018 г., % ВВП</w:t>
      </w:r>
    </w:p>
    <w:p w14:paraId="66192471" w14:textId="77777777" w:rsidR="00FC5243" w:rsidRDefault="00FC5243" w:rsidP="00FC5243">
      <w:pPr>
        <w:tabs>
          <w:tab w:val="left" w:pos="2091"/>
        </w:tabs>
        <w:spacing w:line="360" w:lineRule="auto"/>
        <w:jc w:val="both"/>
        <w:rPr>
          <w:sz w:val="24"/>
          <w:szCs w:val="24"/>
        </w:rPr>
      </w:pPr>
      <w:r>
        <w:rPr>
          <w:rFonts w:ascii="Times New Roman" w:hAnsi="Times New Roman" w:cs="Times New Roman"/>
          <w:sz w:val="24"/>
          <w:szCs w:val="24"/>
        </w:rPr>
        <w:t>Примечание. Данные по России — за 2019 г., по Австралии и Японии — за 2017 г.</w:t>
      </w:r>
    </w:p>
    <w:p w14:paraId="6D97F324" w14:textId="77777777" w:rsidR="00FC5243" w:rsidRDefault="00FC5243" w:rsidP="00FC5243">
      <w:pPr>
        <w:tabs>
          <w:tab w:val="left" w:pos="2091"/>
        </w:tabs>
        <w:spacing w:line="360" w:lineRule="auto"/>
        <w:jc w:val="both"/>
        <w:rPr>
          <w:sz w:val="24"/>
          <w:szCs w:val="24"/>
        </w:rPr>
      </w:pPr>
      <w:r>
        <w:rPr>
          <w:rFonts w:ascii="Times New Roman" w:hAnsi="Times New Roman" w:cs="Times New Roman"/>
          <w:sz w:val="24"/>
          <w:szCs w:val="24"/>
        </w:rPr>
        <w:t xml:space="preserve">Источники: ОЭСР, Росстат, </w:t>
      </w:r>
      <w:proofErr w:type="spellStart"/>
      <w:r>
        <w:rPr>
          <w:rFonts w:ascii="Times New Roman" w:hAnsi="Times New Roman" w:cs="Times New Roman"/>
          <w:sz w:val="24"/>
          <w:szCs w:val="24"/>
        </w:rPr>
        <w:t>Росказна</w:t>
      </w:r>
      <w:proofErr w:type="spellEnd"/>
    </w:p>
    <w:p w14:paraId="7957A216" w14:textId="77777777" w:rsidR="00FC5243" w:rsidRDefault="00FC5243" w:rsidP="00FC5243">
      <w:pPr>
        <w:tabs>
          <w:tab w:val="left" w:pos="2091"/>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одной стороны, из этого может последовать вывод о том, что существенных резервов по повышению уровня социальной поддержки населения со стороны государства в России нет. С другой стороны - рассмотрение совокупных расходов расширенного правительства показывает (рис. 4.2), что в России их величина относительно ВВП (33.9% в </w:t>
      </w:r>
      <w:proofErr w:type="gramStart"/>
      <w:r>
        <w:rPr>
          <w:rFonts w:ascii="Times New Roman" w:hAnsi="Times New Roman" w:cs="Times New Roman"/>
          <w:sz w:val="28"/>
          <w:szCs w:val="28"/>
        </w:rPr>
        <w:t>2019  г.</w:t>
      </w:r>
      <w:proofErr w:type="gramEnd"/>
      <w:r>
        <w:rPr>
          <w:rFonts w:ascii="Times New Roman" w:hAnsi="Times New Roman" w:cs="Times New Roman"/>
          <w:sz w:val="28"/>
          <w:szCs w:val="28"/>
        </w:rPr>
        <w:t xml:space="preserve">) по международным меркам сравнительно невысока. Поэтому можно предположить, что Россия имеет резервы для роста государственных расходов в целом и в частности — расходов для </w:t>
      </w:r>
      <w:proofErr w:type="spellStart"/>
      <w:r>
        <w:rPr>
          <w:rFonts w:ascii="Times New Roman" w:hAnsi="Times New Roman" w:cs="Times New Roman"/>
          <w:sz w:val="28"/>
          <w:szCs w:val="28"/>
        </w:rPr>
        <w:t>увеличиния</w:t>
      </w:r>
      <w:proofErr w:type="spellEnd"/>
      <w:r>
        <w:rPr>
          <w:rFonts w:ascii="Times New Roman" w:hAnsi="Times New Roman" w:cs="Times New Roman"/>
          <w:sz w:val="28"/>
          <w:szCs w:val="28"/>
        </w:rPr>
        <w:t xml:space="preserve"> </w:t>
      </w:r>
      <w:r>
        <w:rPr>
          <w:rFonts w:ascii="Times New Roman" w:hAnsi="Times New Roman" w:cs="Times New Roman"/>
          <w:iCs/>
          <w:sz w:val="28"/>
          <w:szCs w:val="28"/>
        </w:rPr>
        <w:t>объема социальной поддержки населения и постепенного устранения ограничений развития, связанных с низким уровнем и качеством жизни значительной части населения.</w:t>
      </w:r>
    </w:p>
    <w:p w14:paraId="31F2297E" w14:textId="77777777" w:rsidR="00FC5243" w:rsidRDefault="00FC5243" w:rsidP="00FC5243">
      <w:pPr>
        <w:tabs>
          <w:tab w:val="left" w:pos="2091"/>
        </w:tabs>
        <w:spacing w:line="360" w:lineRule="auto"/>
        <w:ind w:firstLine="567"/>
        <w:jc w:val="both"/>
        <w:rPr>
          <w:rFonts w:ascii="Times New Roman" w:hAnsi="Times New Roman" w:cs="Times New Roman"/>
          <w:sz w:val="28"/>
          <w:szCs w:val="28"/>
        </w:rPr>
      </w:pPr>
    </w:p>
    <w:p w14:paraId="322E9839" w14:textId="77777777" w:rsidR="00FC5243" w:rsidRDefault="00FC5243" w:rsidP="00FC5243">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noProof/>
          <w:sz w:val="28"/>
          <w:szCs w:val="28"/>
          <w:lang w:eastAsia="ru-RU"/>
        </w:rPr>
        <w:drawing>
          <wp:anchor distT="0" distB="0" distL="0" distR="0" simplePos="0" relativeHeight="251677696" behindDoc="0" locked="0" layoutInCell="0" allowOverlap="1" wp14:anchorId="118319DF" wp14:editId="6D84325C">
            <wp:simplePos x="0" y="0"/>
            <wp:positionH relativeFrom="column">
              <wp:align>center</wp:align>
            </wp:positionH>
            <wp:positionV relativeFrom="paragraph">
              <wp:posOffset>635</wp:posOffset>
            </wp:positionV>
            <wp:extent cx="3870960" cy="4297680"/>
            <wp:effectExtent l="0" t="0" r="0" b="0"/>
            <wp:wrapSquare wrapText="largest"/>
            <wp:docPr id="4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pic:cNvPicPr>
                      <a:picLocks noChangeAspect="1" noChangeArrowheads="1"/>
                    </pic:cNvPicPr>
                  </pic:nvPicPr>
                  <pic:blipFill>
                    <a:blip r:embed="rId18"/>
                    <a:stretch>
                      <a:fillRect/>
                    </a:stretch>
                  </pic:blipFill>
                  <pic:spPr bwMode="auto">
                    <a:xfrm>
                      <a:off x="0" y="0"/>
                      <a:ext cx="3870960" cy="4297680"/>
                    </a:xfrm>
                    <a:prstGeom prst="rect">
                      <a:avLst/>
                    </a:prstGeom>
                  </pic:spPr>
                </pic:pic>
              </a:graphicData>
            </a:graphic>
          </wp:anchor>
        </w:drawing>
      </w:r>
    </w:p>
    <w:p w14:paraId="40928731" w14:textId="77777777" w:rsidR="00FC5243" w:rsidRDefault="00FC5243" w:rsidP="00FC5243">
      <w:pPr>
        <w:tabs>
          <w:tab w:val="left" w:pos="2091"/>
        </w:tabs>
        <w:jc w:val="center"/>
        <w:rPr>
          <w:rFonts w:ascii="Times New Roman" w:hAnsi="Times New Roman" w:cs="Times New Roman"/>
          <w:sz w:val="28"/>
          <w:szCs w:val="28"/>
        </w:rPr>
      </w:pPr>
    </w:p>
    <w:p w14:paraId="50593D63" w14:textId="77777777" w:rsidR="00FC5243" w:rsidRDefault="00FC5243" w:rsidP="00FC5243">
      <w:pPr>
        <w:tabs>
          <w:tab w:val="left" w:pos="2091"/>
        </w:tabs>
        <w:jc w:val="center"/>
        <w:rPr>
          <w:rFonts w:ascii="Times New Roman" w:hAnsi="Times New Roman" w:cs="Times New Roman"/>
          <w:sz w:val="28"/>
          <w:szCs w:val="28"/>
        </w:rPr>
      </w:pPr>
    </w:p>
    <w:p w14:paraId="0A94EFF6" w14:textId="77777777" w:rsidR="00FC5243" w:rsidRDefault="00FC5243" w:rsidP="00FC5243">
      <w:pPr>
        <w:tabs>
          <w:tab w:val="left" w:pos="2091"/>
        </w:tabs>
        <w:jc w:val="center"/>
        <w:rPr>
          <w:rFonts w:ascii="Times New Roman" w:hAnsi="Times New Roman" w:cs="Times New Roman"/>
          <w:sz w:val="28"/>
          <w:szCs w:val="28"/>
        </w:rPr>
      </w:pPr>
    </w:p>
    <w:p w14:paraId="0EC6608D" w14:textId="77777777" w:rsidR="00FC5243" w:rsidRDefault="00FC5243" w:rsidP="00FC5243">
      <w:pPr>
        <w:tabs>
          <w:tab w:val="left" w:pos="2091"/>
        </w:tabs>
        <w:jc w:val="center"/>
        <w:rPr>
          <w:rFonts w:ascii="Times New Roman" w:hAnsi="Times New Roman" w:cs="Times New Roman"/>
          <w:sz w:val="28"/>
          <w:szCs w:val="28"/>
        </w:rPr>
      </w:pPr>
    </w:p>
    <w:p w14:paraId="6B72ACD4" w14:textId="77777777" w:rsidR="00FC5243" w:rsidRDefault="00FC5243" w:rsidP="00FC5243">
      <w:pPr>
        <w:tabs>
          <w:tab w:val="left" w:pos="2091"/>
        </w:tabs>
        <w:jc w:val="center"/>
        <w:rPr>
          <w:rFonts w:ascii="Times New Roman" w:hAnsi="Times New Roman" w:cs="Times New Roman"/>
          <w:sz w:val="28"/>
          <w:szCs w:val="28"/>
        </w:rPr>
      </w:pPr>
    </w:p>
    <w:p w14:paraId="295D3648" w14:textId="77777777" w:rsidR="00FC5243" w:rsidRDefault="00FC5243" w:rsidP="00FC5243">
      <w:pPr>
        <w:tabs>
          <w:tab w:val="left" w:pos="2091"/>
        </w:tabs>
        <w:jc w:val="center"/>
        <w:rPr>
          <w:rFonts w:ascii="Times New Roman" w:hAnsi="Times New Roman" w:cs="Times New Roman"/>
          <w:sz w:val="28"/>
          <w:szCs w:val="28"/>
        </w:rPr>
      </w:pPr>
    </w:p>
    <w:p w14:paraId="77F825F8" w14:textId="77777777" w:rsidR="00FC5243" w:rsidRDefault="00FC5243" w:rsidP="00FC5243">
      <w:pPr>
        <w:tabs>
          <w:tab w:val="left" w:pos="2091"/>
        </w:tabs>
        <w:jc w:val="center"/>
        <w:rPr>
          <w:rFonts w:ascii="Times New Roman" w:hAnsi="Times New Roman" w:cs="Times New Roman"/>
          <w:sz w:val="28"/>
          <w:szCs w:val="28"/>
        </w:rPr>
      </w:pPr>
    </w:p>
    <w:p w14:paraId="05D595AE" w14:textId="77777777" w:rsidR="00FC5243" w:rsidRDefault="00FC5243" w:rsidP="00FC5243">
      <w:pPr>
        <w:tabs>
          <w:tab w:val="left" w:pos="2091"/>
        </w:tabs>
        <w:jc w:val="center"/>
        <w:rPr>
          <w:rFonts w:ascii="Times New Roman" w:hAnsi="Times New Roman" w:cs="Times New Roman"/>
          <w:sz w:val="28"/>
          <w:szCs w:val="28"/>
        </w:rPr>
      </w:pPr>
    </w:p>
    <w:p w14:paraId="6DDBEDFA" w14:textId="77777777" w:rsidR="00FC5243" w:rsidRDefault="00FC5243" w:rsidP="00FC5243">
      <w:pPr>
        <w:tabs>
          <w:tab w:val="left" w:pos="2091"/>
        </w:tabs>
        <w:jc w:val="center"/>
        <w:rPr>
          <w:rFonts w:ascii="Times New Roman" w:hAnsi="Times New Roman" w:cs="Times New Roman"/>
          <w:sz w:val="28"/>
          <w:szCs w:val="28"/>
        </w:rPr>
      </w:pPr>
    </w:p>
    <w:p w14:paraId="294591BF" w14:textId="77777777" w:rsidR="00FC5243" w:rsidRDefault="00FC5243" w:rsidP="00FC5243">
      <w:pPr>
        <w:tabs>
          <w:tab w:val="left" w:pos="2091"/>
        </w:tabs>
        <w:jc w:val="center"/>
        <w:rPr>
          <w:rFonts w:ascii="Times New Roman" w:hAnsi="Times New Roman" w:cs="Times New Roman"/>
          <w:sz w:val="28"/>
          <w:szCs w:val="28"/>
        </w:rPr>
      </w:pPr>
    </w:p>
    <w:p w14:paraId="6CF52506" w14:textId="77777777" w:rsidR="00FC5243" w:rsidRDefault="00FC5243" w:rsidP="00FC5243">
      <w:pPr>
        <w:tabs>
          <w:tab w:val="left" w:pos="2091"/>
        </w:tabs>
        <w:jc w:val="center"/>
        <w:rPr>
          <w:rFonts w:ascii="Times New Roman" w:hAnsi="Times New Roman" w:cs="Times New Roman"/>
          <w:sz w:val="28"/>
          <w:szCs w:val="28"/>
        </w:rPr>
      </w:pPr>
    </w:p>
    <w:p w14:paraId="139A52D0" w14:textId="77777777" w:rsidR="00FC5243" w:rsidRDefault="00FC5243" w:rsidP="00FC5243">
      <w:pPr>
        <w:tabs>
          <w:tab w:val="left" w:pos="2091"/>
        </w:tabs>
        <w:jc w:val="center"/>
        <w:rPr>
          <w:rFonts w:ascii="Times New Roman" w:hAnsi="Times New Roman" w:cs="Times New Roman"/>
          <w:sz w:val="28"/>
          <w:szCs w:val="28"/>
        </w:rPr>
      </w:pPr>
    </w:p>
    <w:p w14:paraId="2267C450" w14:textId="77777777" w:rsidR="00FC5243" w:rsidRDefault="00FC5243" w:rsidP="00FC5243">
      <w:pPr>
        <w:tabs>
          <w:tab w:val="left" w:pos="2091"/>
        </w:tabs>
        <w:jc w:val="center"/>
        <w:rPr>
          <w:rFonts w:ascii="Times New Roman" w:hAnsi="Times New Roman" w:cs="Times New Roman"/>
          <w:sz w:val="28"/>
          <w:szCs w:val="28"/>
        </w:rPr>
      </w:pPr>
    </w:p>
    <w:p w14:paraId="01E3073C" w14:textId="77777777" w:rsidR="00FC5243" w:rsidRDefault="00FC5243" w:rsidP="00FC5243">
      <w:pPr>
        <w:tabs>
          <w:tab w:val="left" w:pos="2091"/>
        </w:tabs>
        <w:jc w:val="center"/>
      </w:pPr>
      <w:r>
        <w:rPr>
          <w:rFonts w:ascii="Times New Roman" w:hAnsi="Times New Roman" w:cs="Times New Roman"/>
          <w:sz w:val="28"/>
          <w:szCs w:val="28"/>
        </w:rPr>
        <w:t>Рис. 4.2 Совокупные расходы расширенного правительства в странах ОЭСР и России в 2018 г., % ВВП</w:t>
      </w:r>
    </w:p>
    <w:p w14:paraId="7D9937EC" w14:textId="77777777" w:rsidR="00FC5243" w:rsidRDefault="00FC5243" w:rsidP="00FC5243">
      <w:pPr>
        <w:tabs>
          <w:tab w:val="left" w:pos="2091"/>
        </w:tabs>
        <w:spacing w:line="360" w:lineRule="auto"/>
        <w:jc w:val="both"/>
        <w:rPr>
          <w:sz w:val="24"/>
          <w:szCs w:val="24"/>
        </w:rPr>
      </w:pPr>
      <w:r>
        <w:rPr>
          <w:rFonts w:ascii="Times New Roman" w:hAnsi="Times New Roman" w:cs="Times New Roman"/>
          <w:sz w:val="24"/>
          <w:szCs w:val="24"/>
        </w:rPr>
        <w:t>Примечание. Данные по России — за 2019 г., по Чехии и Коста-Рике — за 2017 г.</w:t>
      </w:r>
    </w:p>
    <w:p w14:paraId="7A03629A" w14:textId="77777777" w:rsidR="00FC5243" w:rsidRDefault="00FC5243" w:rsidP="00FC5243">
      <w:pPr>
        <w:tabs>
          <w:tab w:val="left" w:pos="2091"/>
        </w:tabs>
        <w:spacing w:line="360" w:lineRule="auto"/>
        <w:jc w:val="both"/>
        <w:rPr>
          <w:sz w:val="24"/>
          <w:szCs w:val="24"/>
        </w:rPr>
      </w:pPr>
      <w:r>
        <w:rPr>
          <w:rFonts w:ascii="Times New Roman" w:hAnsi="Times New Roman" w:cs="Times New Roman"/>
          <w:sz w:val="24"/>
          <w:szCs w:val="24"/>
        </w:rPr>
        <w:t xml:space="preserve">Источники: ОЭСР, Росстат, </w:t>
      </w:r>
      <w:proofErr w:type="spellStart"/>
      <w:r>
        <w:rPr>
          <w:rFonts w:ascii="Times New Roman" w:hAnsi="Times New Roman" w:cs="Times New Roman"/>
          <w:sz w:val="24"/>
          <w:szCs w:val="24"/>
        </w:rPr>
        <w:t>Росказна</w:t>
      </w:r>
      <w:proofErr w:type="spellEnd"/>
    </w:p>
    <w:p w14:paraId="0822AD77" w14:textId="73EC3480" w:rsidR="00FC0A22" w:rsidRDefault="00FC0A22" w:rsidP="00FC5243">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Этот факт позволяет дополнительно перераспределять часть доходов экономики в пользу бюджетной системы и увеличивать таким образом объем социальной поддержки населения и обеспечить постепенно снижение ограничений развития, связанных с низким уровнем и качеством жизни значительной части населения.</w:t>
      </w:r>
    </w:p>
    <w:p w14:paraId="356567ED" w14:textId="68C6B436" w:rsidR="00FC0A22" w:rsidRDefault="00FC0A22" w:rsidP="00FC0A22">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Одним из путей такого перераспределения может стать модернизация системы налогообложения доходов физических лиц. В 2020 г. были сделаны первые шаги по увеличению налога на доходы наиболее обеспеченных граждан (с уровнем годового дохода свыше 5 млн. руб.). Наши оценки показывают, что у 20% наиболее богатых граждан норма сбережения сейчас составляет достигает 25%.</w:t>
      </w:r>
    </w:p>
    <w:p w14:paraId="0E50C3B2" w14:textId="77777777" w:rsidR="00FC0A22" w:rsidRDefault="00FC0A22" w:rsidP="00FC0A22">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 xml:space="preserve">В этих условиях, например, увеличение ставки налога на НДФЛ для 20% наиболее богатых граждан до 25% способно привести к такому перераспределению доходов, которое увеличит спрос, а соответственно и ВВП, как минимум на 2%. </w:t>
      </w:r>
      <w:proofErr w:type="gramStart"/>
      <w:r>
        <w:rPr>
          <w:rFonts w:ascii="Times New Roman" w:hAnsi="Times New Roman" w:cs="Times New Roman"/>
          <w:iCs/>
          <w:sz w:val="28"/>
          <w:szCs w:val="28"/>
        </w:rPr>
        <w:t>Конечно</w:t>
      </w:r>
      <w:proofErr w:type="gramEnd"/>
      <w:r>
        <w:rPr>
          <w:rFonts w:ascii="Times New Roman" w:hAnsi="Times New Roman" w:cs="Times New Roman"/>
          <w:iCs/>
          <w:sz w:val="28"/>
          <w:szCs w:val="28"/>
        </w:rPr>
        <w:t xml:space="preserve"> в данном случае речь должна идти не просто о росте налоговой нагрузки, но и о модернизации всей бюджетной системы, обеспечивающей не просто рост ее доходов, но и формирование каналов использования этих средств в пользу решения задач социальной политики.</w:t>
      </w:r>
    </w:p>
    <w:p w14:paraId="4B7039E9" w14:textId="77777777" w:rsidR="00FC0A22" w:rsidRDefault="00FC0A22" w:rsidP="00FC0A22">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Оценивать возможности и последствия реализации той или иной бюджетной политики необходимо с использованием не только казначейских отчетов (в терминах «доходы-расходы-дефицит»), но и всего арсенала доступных аналитических инструментов. В качестве такого инструментария представляется целесообразным использовать институциональные счета, которые достаточно редко используются российскими исследователями для аналитики или построения эконометрических моделей.</w:t>
      </w:r>
    </w:p>
    <w:p w14:paraId="2B6A8CF7" w14:textId="77777777" w:rsidR="00FC0A22" w:rsidRDefault="00FC0A22" w:rsidP="00FC0A22">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Показатели институциональных счетов (одной из составных частей системы национальных счетов - СНС) полностью отражают процесс формирования конечных располагаемых доходов и сбережений, напрямую определяющих величину расходов экономических агентов. При этом государство играет решающую роль в перераспределении национального дохода, фактически перенаправляя финансовые ресурсы от бизнеса к населению.</w:t>
      </w:r>
    </w:p>
    <w:p w14:paraId="31AEBA18" w14:textId="77777777" w:rsidR="00FC0A22" w:rsidRDefault="00FC0A22" w:rsidP="00FC0A22">
      <w:pPr>
        <w:spacing w:after="120" w:line="360" w:lineRule="auto"/>
        <w:ind w:firstLine="567"/>
        <w:jc w:val="both"/>
        <w:rPr>
          <w:rFonts w:ascii="Times New Roman" w:hAnsi="Times New Roman" w:cs="Times New Roman"/>
          <w:iCs/>
          <w:sz w:val="28"/>
          <w:szCs w:val="28"/>
        </w:rPr>
      </w:pPr>
      <w:r>
        <w:rPr>
          <w:rFonts w:ascii="Times New Roman" w:hAnsi="Times New Roman" w:cs="Times New Roman"/>
          <w:iCs/>
          <w:sz w:val="28"/>
          <w:szCs w:val="28"/>
        </w:rPr>
        <w:t>Основными источниками доходов сектора государственного управления являются валовая добавленная стоимость, налоги и страховые взносы (таб. 4.1).</w:t>
      </w:r>
    </w:p>
    <w:p w14:paraId="172606CF" w14:textId="77777777" w:rsidR="00FC0A22" w:rsidRDefault="00FC0A22" w:rsidP="00FC0A22">
      <w:pPr>
        <w:spacing w:line="360" w:lineRule="auto"/>
        <w:ind w:left="567"/>
        <w:rPr>
          <w:rFonts w:ascii="Times New Roman" w:hAnsi="Times New Roman" w:cs="Times New Roman"/>
          <w:iCs/>
          <w:sz w:val="28"/>
          <w:szCs w:val="28"/>
        </w:rPr>
      </w:pPr>
      <w:r>
        <w:rPr>
          <w:rFonts w:ascii="Times New Roman" w:hAnsi="Times New Roman" w:cs="Times New Roman"/>
          <w:iCs/>
          <w:sz w:val="28"/>
          <w:szCs w:val="28"/>
        </w:rPr>
        <w:t>Таблица 4.1. Ресурсы государственного сектора и их использование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5"/>
        <w:gridCol w:w="1070"/>
        <w:gridCol w:w="1069"/>
        <w:gridCol w:w="1069"/>
        <w:gridCol w:w="1064"/>
        <w:gridCol w:w="1064"/>
        <w:gridCol w:w="1064"/>
      </w:tblGrid>
      <w:tr w:rsidR="00FC0A22" w14:paraId="5A6CCD83" w14:textId="77777777" w:rsidTr="00FC0A22">
        <w:tc>
          <w:tcPr>
            <w:tcW w:w="2945" w:type="dxa"/>
            <w:vMerge w:val="restart"/>
            <w:tcBorders>
              <w:top w:val="single" w:sz="4" w:space="0" w:color="auto"/>
              <w:left w:val="single" w:sz="4" w:space="0" w:color="auto"/>
              <w:bottom w:val="single" w:sz="4" w:space="0" w:color="auto"/>
              <w:right w:val="single" w:sz="4" w:space="0" w:color="auto"/>
            </w:tcBorders>
          </w:tcPr>
          <w:p w14:paraId="28DFEFBE" w14:textId="77777777" w:rsidR="00FC0A22" w:rsidRDefault="00FC0A22">
            <w:pPr>
              <w:spacing w:line="256" w:lineRule="auto"/>
              <w:jc w:val="both"/>
              <w:rPr>
                <w:rFonts w:ascii="Times New Roman" w:eastAsia="MS Mincho" w:hAnsi="Times New Roman" w:cs="Times New Roman"/>
                <w:sz w:val="24"/>
                <w:szCs w:val="24"/>
                <w:lang w:eastAsia="ja-JP"/>
              </w:rPr>
            </w:pPr>
          </w:p>
        </w:tc>
        <w:tc>
          <w:tcPr>
            <w:tcW w:w="3208" w:type="dxa"/>
            <w:gridSpan w:val="3"/>
            <w:tcBorders>
              <w:top w:val="single" w:sz="4" w:space="0" w:color="auto"/>
              <w:left w:val="single" w:sz="4" w:space="0" w:color="auto"/>
              <w:bottom w:val="single" w:sz="4" w:space="0" w:color="auto"/>
              <w:right w:val="single" w:sz="4" w:space="0" w:color="auto"/>
            </w:tcBorders>
            <w:hideMark/>
          </w:tcPr>
          <w:p w14:paraId="31FD1CDF"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Потоки (млрд руб.)</w:t>
            </w:r>
          </w:p>
        </w:tc>
        <w:tc>
          <w:tcPr>
            <w:tcW w:w="3192" w:type="dxa"/>
            <w:gridSpan w:val="3"/>
            <w:tcBorders>
              <w:top w:val="single" w:sz="4" w:space="0" w:color="auto"/>
              <w:left w:val="single" w:sz="4" w:space="0" w:color="auto"/>
              <w:bottom w:val="single" w:sz="4" w:space="0" w:color="auto"/>
              <w:right w:val="single" w:sz="4" w:space="0" w:color="auto"/>
            </w:tcBorders>
            <w:hideMark/>
          </w:tcPr>
          <w:p w14:paraId="5649707A"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Потоки (в % к итогу)</w:t>
            </w:r>
          </w:p>
        </w:tc>
      </w:tr>
      <w:tr w:rsidR="00FC0A22" w14:paraId="41DB3106" w14:textId="77777777" w:rsidTr="00FC0A22">
        <w:tc>
          <w:tcPr>
            <w:tcW w:w="0" w:type="auto"/>
            <w:vMerge/>
            <w:tcBorders>
              <w:top w:val="single" w:sz="4" w:space="0" w:color="auto"/>
              <w:left w:val="single" w:sz="4" w:space="0" w:color="auto"/>
              <w:bottom w:val="single" w:sz="4" w:space="0" w:color="auto"/>
              <w:right w:val="single" w:sz="4" w:space="0" w:color="auto"/>
            </w:tcBorders>
            <w:vAlign w:val="center"/>
            <w:hideMark/>
          </w:tcPr>
          <w:p w14:paraId="1B150896" w14:textId="77777777" w:rsidR="00FC0A22" w:rsidRDefault="00FC0A22">
            <w:pPr>
              <w:spacing w:after="0" w:line="240" w:lineRule="auto"/>
              <w:rPr>
                <w:rFonts w:ascii="Times New Roman" w:eastAsia="MS Mincho" w:hAnsi="Times New Roman" w:cs="Times New Roman"/>
                <w:sz w:val="24"/>
                <w:szCs w:val="24"/>
                <w:lang w:eastAsia="ja-JP"/>
              </w:rPr>
            </w:pPr>
          </w:p>
        </w:tc>
        <w:tc>
          <w:tcPr>
            <w:tcW w:w="1070" w:type="dxa"/>
            <w:tcBorders>
              <w:top w:val="single" w:sz="4" w:space="0" w:color="auto"/>
              <w:left w:val="single" w:sz="4" w:space="0" w:color="auto"/>
              <w:bottom w:val="single" w:sz="4" w:space="0" w:color="auto"/>
              <w:right w:val="single" w:sz="4" w:space="0" w:color="auto"/>
            </w:tcBorders>
            <w:hideMark/>
          </w:tcPr>
          <w:p w14:paraId="10F72ED9"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1069" w:type="dxa"/>
            <w:tcBorders>
              <w:top w:val="single" w:sz="4" w:space="0" w:color="auto"/>
              <w:left w:val="single" w:sz="4" w:space="0" w:color="auto"/>
              <w:bottom w:val="single" w:sz="4" w:space="0" w:color="auto"/>
              <w:right w:val="single" w:sz="4" w:space="0" w:color="auto"/>
            </w:tcBorders>
            <w:hideMark/>
          </w:tcPr>
          <w:p w14:paraId="75CCF1D4"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069" w:type="dxa"/>
            <w:tcBorders>
              <w:top w:val="single" w:sz="4" w:space="0" w:color="auto"/>
              <w:left w:val="single" w:sz="4" w:space="0" w:color="auto"/>
              <w:bottom w:val="single" w:sz="4" w:space="0" w:color="auto"/>
              <w:right w:val="single" w:sz="4" w:space="0" w:color="auto"/>
            </w:tcBorders>
            <w:hideMark/>
          </w:tcPr>
          <w:p w14:paraId="5266384B" w14:textId="77777777" w:rsidR="00FC0A22" w:rsidRDefault="00FC0A22">
            <w:pPr>
              <w:spacing w:line="256"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8</w:t>
            </w:r>
          </w:p>
        </w:tc>
        <w:tc>
          <w:tcPr>
            <w:tcW w:w="1064" w:type="dxa"/>
            <w:tcBorders>
              <w:top w:val="single" w:sz="4" w:space="0" w:color="auto"/>
              <w:left w:val="single" w:sz="4" w:space="0" w:color="auto"/>
              <w:bottom w:val="single" w:sz="4" w:space="0" w:color="auto"/>
              <w:right w:val="single" w:sz="4" w:space="0" w:color="auto"/>
            </w:tcBorders>
            <w:hideMark/>
          </w:tcPr>
          <w:p w14:paraId="368A6CD7"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2010</w:t>
            </w:r>
          </w:p>
        </w:tc>
        <w:tc>
          <w:tcPr>
            <w:tcW w:w="1064" w:type="dxa"/>
            <w:tcBorders>
              <w:top w:val="single" w:sz="4" w:space="0" w:color="auto"/>
              <w:left w:val="single" w:sz="4" w:space="0" w:color="auto"/>
              <w:bottom w:val="single" w:sz="4" w:space="0" w:color="auto"/>
              <w:right w:val="single" w:sz="4" w:space="0" w:color="auto"/>
            </w:tcBorders>
            <w:hideMark/>
          </w:tcPr>
          <w:p w14:paraId="777E348A" w14:textId="77777777" w:rsidR="00FC0A22" w:rsidRDefault="00FC0A22">
            <w:pPr>
              <w:spacing w:line="256" w:lineRule="auto"/>
              <w:jc w:val="center"/>
              <w:rPr>
                <w:rFonts w:ascii="Times New Roman" w:hAnsi="Times New Roman" w:cs="Times New Roman"/>
                <w:sz w:val="24"/>
                <w:szCs w:val="24"/>
              </w:rPr>
            </w:pPr>
            <w:r>
              <w:rPr>
                <w:rFonts w:ascii="Times New Roman" w:hAnsi="Times New Roman" w:cs="Times New Roman"/>
                <w:sz w:val="24"/>
                <w:szCs w:val="24"/>
              </w:rPr>
              <w:t>2015</w:t>
            </w:r>
          </w:p>
        </w:tc>
        <w:tc>
          <w:tcPr>
            <w:tcW w:w="1064" w:type="dxa"/>
            <w:tcBorders>
              <w:top w:val="single" w:sz="4" w:space="0" w:color="auto"/>
              <w:left w:val="single" w:sz="4" w:space="0" w:color="auto"/>
              <w:bottom w:val="single" w:sz="4" w:space="0" w:color="auto"/>
              <w:right w:val="single" w:sz="4" w:space="0" w:color="auto"/>
            </w:tcBorders>
            <w:hideMark/>
          </w:tcPr>
          <w:p w14:paraId="3FB29A6D" w14:textId="77777777" w:rsidR="00FC0A22" w:rsidRDefault="00FC0A22">
            <w:pPr>
              <w:spacing w:line="256" w:lineRule="auto"/>
              <w:jc w:val="center"/>
              <w:rPr>
                <w:rFonts w:ascii="Times New Roman" w:hAnsi="Times New Roman" w:cs="Times New Roman"/>
                <w:sz w:val="24"/>
                <w:szCs w:val="24"/>
                <w:lang w:val="en-US"/>
              </w:rPr>
            </w:pPr>
            <w:r>
              <w:rPr>
                <w:rFonts w:ascii="Times New Roman" w:hAnsi="Times New Roman" w:cs="Times New Roman"/>
                <w:sz w:val="24"/>
                <w:szCs w:val="24"/>
              </w:rPr>
              <w:t>201</w:t>
            </w:r>
            <w:r>
              <w:rPr>
                <w:rFonts w:ascii="Times New Roman" w:hAnsi="Times New Roman" w:cs="Times New Roman"/>
                <w:sz w:val="24"/>
                <w:szCs w:val="24"/>
                <w:lang w:val="en-US"/>
              </w:rPr>
              <w:t>8</w:t>
            </w:r>
          </w:p>
        </w:tc>
      </w:tr>
      <w:tr w:rsidR="00FC0A22" w14:paraId="387C01D0"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10F47C76" w14:textId="77777777" w:rsidR="00FC0A22" w:rsidRDefault="00FC0A22">
            <w:pPr>
              <w:spacing w:line="256" w:lineRule="auto"/>
              <w:jc w:val="both"/>
              <w:rPr>
                <w:rFonts w:ascii="Times New Roman" w:hAnsi="Times New Roman" w:cs="Times New Roman"/>
                <w:b/>
                <w:sz w:val="24"/>
                <w:szCs w:val="24"/>
              </w:rPr>
            </w:pPr>
            <w:r>
              <w:rPr>
                <w:rFonts w:ascii="Times New Roman" w:hAnsi="Times New Roman" w:cs="Times New Roman"/>
                <w:b/>
                <w:sz w:val="24"/>
                <w:szCs w:val="24"/>
              </w:rPr>
              <w:t>Ресурсы, в том числе:</w:t>
            </w:r>
          </w:p>
        </w:tc>
        <w:tc>
          <w:tcPr>
            <w:tcW w:w="1070" w:type="dxa"/>
            <w:tcBorders>
              <w:top w:val="single" w:sz="4" w:space="0" w:color="auto"/>
              <w:left w:val="single" w:sz="4" w:space="0" w:color="auto"/>
              <w:bottom w:val="single" w:sz="4" w:space="0" w:color="auto"/>
              <w:right w:val="single" w:sz="4" w:space="0" w:color="auto"/>
            </w:tcBorders>
            <w:hideMark/>
          </w:tcPr>
          <w:p w14:paraId="0E578713"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21557</w:t>
            </w:r>
          </w:p>
        </w:tc>
        <w:tc>
          <w:tcPr>
            <w:tcW w:w="1069" w:type="dxa"/>
            <w:tcBorders>
              <w:top w:val="single" w:sz="4" w:space="0" w:color="auto"/>
              <w:left w:val="single" w:sz="4" w:space="0" w:color="auto"/>
              <w:bottom w:val="single" w:sz="4" w:space="0" w:color="auto"/>
              <w:right w:val="single" w:sz="4" w:space="0" w:color="auto"/>
            </w:tcBorders>
            <w:hideMark/>
          </w:tcPr>
          <w:p w14:paraId="4EE58CF6"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rPr>
              <w:t>37</w:t>
            </w:r>
            <w:r>
              <w:rPr>
                <w:rFonts w:ascii="Times New Roman" w:hAnsi="Times New Roman" w:cs="Times New Roman"/>
                <w:b/>
                <w:sz w:val="24"/>
                <w:szCs w:val="24"/>
                <w:lang w:val="en-US"/>
              </w:rPr>
              <w:t>934</w:t>
            </w:r>
          </w:p>
        </w:tc>
        <w:tc>
          <w:tcPr>
            <w:tcW w:w="1069" w:type="dxa"/>
            <w:tcBorders>
              <w:top w:val="single" w:sz="4" w:space="0" w:color="auto"/>
              <w:left w:val="single" w:sz="4" w:space="0" w:color="auto"/>
              <w:bottom w:val="single" w:sz="4" w:space="0" w:color="auto"/>
              <w:right w:val="single" w:sz="4" w:space="0" w:color="auto"/>
            </w:tcBorders>
            <w:hideMark/>
          </w:tcPr>
          <w:p w14:paraId="575DA7E3"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50524</w:t>
            </w:r>
          </w:p>
        </w:tc>
        <w:tc>
          <w:tcPr>
            <w:tcW w:w="1064" w:type="dxa"/>
            <w:tcBorders>
              <w:top w:val="single" w:sz="4" w:space="0" w:color="auto"/>
              <w:left w:val="single" w:sz="4" w:space="0" w:color="auto"/>
              <w:bottom w:val="single" w:sz="4" w:space="0" w:color="auto"/>
              <w:right w:val="single" w:sz="4" w:space="0" w:color="auto"/>
            </w:tcBorders>
            <w:hideMark/>
          </w:tcPr>
          <w:p w14:paraId="3EFE863B"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c>
          <w:tcPr>
            <w:tcW w:w="1064" w:type="dxa"/>
            <w:tcBorders>
              <w:top w:val="single" w:sz="4" w:space="0" w:color="auto"/>
              <w:left w:val="single" w:sz="4" w:space="0" w:color="auto"/>
              <w:bottom w:val="single" w:sz="4" w:space="0" w:color="auto"/>
              <w:right w:val="single" w:sz="4" w:space="0" w:color="auto"/>
            </w:tcBorders>
            <w:hideMark/>
          </w:tcPr>
          <w:p w14:paraId="45706C4F"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c>
          <w:tcPr>
            <w:tcW w:w="1064" w:type="dxa"/>
            <w:tcBorders>
              <w:top w:val="single" w:sz="4" w:space="0" w:color="auto"/>
              <w:left w:val="single" w:sz="4" w:space="0" w:color="auto"/>
              <w:bottom w:val="single" w:sz="4" w:space="0" w:color="auto"/>
              <w:right w:val="single" w:sz="4" w:space="0" w:color="auto"/>
            </w:tcBorders>
            <w:hideMark/>
          </w:tcPr>
          <w:p w14:paraId="04F7FB9A"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r>
      <w:tr w:rsidR="00FC0A22" w14:paraId="42A04F9E"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085E4B41"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ВДС госсектора</w:t>
            </w:r>
          </w:p>
        </w:tc>
        <w:tc>
          <w:tcPr>
            <w:tcW w:w="1070" w:type="dxa"/>
            <w:tcBorders>
              <w:top w:val="single" w:sz="4" w:space="0" w:color="auto"/>
              <w:left w:val="single" w:sz="4" w:space="0" w:color="auto"/>
              <w:bottom w:val="single" w:sz="4" w:space="0" w:color="auto"/>
              <w:right w:val="single" w:sz="4" w:space="0" w:color="auto"/>
            </w:tcBorders>
            <w:hideMark/>
          </w:tcPr>
          <w:p w14:paraId="2479A30E"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5191</w:t>
            </w:r>
          </w:p>
        </w:tc>
        <w:tc>
          <w:tcPr>
            <w:tcW w:w="1069" w:type="dxa"/>
            <w:tcBorders>
              <w:top w:val="single" w:sz="4" w:space="0" w:color="auto"/>
              <w:left w:val="single" w:sz="4" w:space="0" w:color="auto"/>
              <w:bottom w:val="single" w:sz="4" w:space="0" w:color="auto"/>
              <w:right w:val="single" w:sz="4" w:space="0" w:color="auto"/>
            </w:tcBorders>
            <w:hideMark/>
          </w:tcPr>
          <w:p w14:paraId="69710A87"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1104</w:t>
            </w:r>
            <w:r>
              <w:rPr>
                <w:rFonts w:ascii="Times New Roman" w:hAnsi="Times New Roman" w:cs="Times New Roman"/>
                <w:sz w:val="24"/>
                <w:szCs w:val="24"/>
                <w:lang w:val="en-US"/>
              </w:rPr>
              <w:t>7</w:t>
            </w:r>
          </w:p>
        </w:tc>
        <w:tc>
          <w:tcPr>
            <w:tcW w:w="1069" w:type="dxa"/>
            <w:tcBorders>
              <w:top w:val="single" w:sz="4" w:space="0" w:color="auto"/>
              <w:left w:val="single" w:sz="4" w:space="0" w:color="auto"/>
              <w:bottom w:val="single" w:sz="4" w:space="0" w:color="auto"/>
              <w:right w:val="single" w:sz="4" w:space="0" w:color="auto"/>
            </w:tcBorders>
            <w:hideMark/>
          </w:tcPr>
          <w:p w14:paraId="30ADD0F5"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3625</w:t>
            </w:r>
          </w:p>
        </w:tc>
        <w:tc>
          <w:tcPr>
            <w:tcW w:w="1064" w:type="dxa"/>
            <w:tcBorders>
              <w:top w:val="single" w:sz="4" w:space="0" w:color="auto"/>
              <w:left w:val="single" w:sz="4" w:space="0" w:color="auto"/>
              <w:bottom w:val="single" w:sz="4" w:space="0" w:color="auto"/>
              <w:right w:val="single" w:sz="4" w:space="0" w:color="auto"/>
            </w:tcBorders>
            <w:hideMark/>
          </w:tcPr>
          <w:p w14:paraId="173620C5"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24</w:t>
            </w:r>
          </w:p>
        </w:tc>
        <w:tc>
          <w:tcPr>
            <w:tcW w:w="1064" w:type="dxa"/>
            <w:tcBorders>
              <w:top w:val="single" w:sz="4" w:space="0" w:color="auto"/>
              <w:left w:val="single" w:sz="4" w:space="0" w:color="auto"/>
              <w:bottom w:val="single" w:sz="4" w:space="0" w:color="auto"/>
              <w:right w:val="single" w:sz="4" w:space="0" w:color="auto"/>
            </w:tcBorders>
            <w:hideMark/>
          </w:tcPr>
          <w:p w14:paraId="1293F046"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29</w:t>
            </w:r>
          </w:p>
        </w:tc>
        <w:tc>
          <w:tcPr>
            <w:tcW w:w="1064" w:type="dxa"/>
            <w:tcBorders>
              <w:top w:val="single" w:sz="4" w:space="0" w:color="auto"/>
              <w:left w:val="single" w:sz="4" w:space="0" w:color="auto"/>
              <w:bottom w:val="single" w:sz="4" w:space="0" w:color="auto"/>
              <w:right w:val="single" w:sz="4" w:space="0" w:color="auto"/>
            </w:tcBorders>
            <w:hideMark/>
          </w:tcPr>
          <w:p w14:paraId="50756494"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7</w:t>
            </w:r>
          </w:p>
        </w:tc>
      </w:tr>
      <w:tr w:rsidR="00FC0A22" w14:paraId="06028942"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1B1B2FAD"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в том числе валовая прибыль</w:t>
            </w:r>
          </w:p>
        </w:tc>
        <w:tc>
          <w:tcPr>
            <w:tcW w:w="1070" w:type="dxa"/>
            <w:tcBorders>
              <w:top w:val="single" w:sz="4" w:space="0" w:color="auto"/>
              <w:left w:val="single" w:sz="4" w:space="0" w:color="auto"/>
              <w:bottom w:val="single" w:sz="4" w:space="0" w:color="auto"/>
              <w:right w:val="single" w:sz="4" w:space="0" w:color="auto"/>
            </w:tcBorders>
            <w:hideMark/>
          </w:tcPr>
          <w:p w14:paraId="7D00BA10"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240</w:t>
            </w:r>
          </w:p>
        </w:tc>
        <w:tc>
          <w:tcPr>
            <w:tcW w:w="1069" w:type="dxa"/>
            <w:tcBorders>
              <w:top w:val="single" w:sz="4" w:space="0" w:color="auto"/>
              <w:left w:val="single" w:sz="4" w:space="0" w:color="auto"/>
              <w:bottom w:val="single" w:sz="4" w:space="0" w:color="auto"/>
              <w:right w:val="single" w:sz="4" w:space="0" w:color="auto"/>
            </w:tcBorders>
            <w:hideMark/>
          </w:tcPr>
          <w:p w14:paraId="1FEEFD30"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2474</w:t>
            </w:r>
          </w:p>
        </w:tc>
        <w:tc>
          <w:tcPr>
            <w:tcW w:w="1069" w:type="dxa"/>
            <w:tcBorders>
              <w:top w:val="single" w:sz="4" w:space="0" w:color="auto"/>
              <w:left w:val="single" w:sz="4" w:space="0" w:color="auto"/>
              <w:bottom w:val="single" w:sz="4" w:space="0" w:color="auto"/>
              <w:right w:val="single" w:sz="4" w:space="0" w:color="auto"/>
            </w:tcBorders>
            <w:hideMark/>
          </w:tcPr>
          <w:p w14:paraId="2E73DA34"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3</w:t>
            </w:r>
            <w:r>
              <w:rPr>
                <w:rFonts w:ascii="Times New Roman" w:hAnsi="Times New Roman" w:cs="Times New Roman"/>
                <w:sz w:val="24"/>
                <w:szCs w:val="24"/>
                <w:lang w:val="en-US"/>
              </w:rPr>
              <w:t>328</w:t>
            </w:r>
          </w:p>
        </w:tc>
        <w:tc>
          <w:tcPr>
            <w:tcW w:w="1064" w:type="dxa"/>
            <w:tcBorders>
              <w:top w:val="single" w:sz="4" w:space="0" w:color="auto"/>
              <w:left w:val="single" w:sz="4" w:space="0" w:color="auto"/>
              <w:bottom w:val="single" w:sz="4" w:space="0" w:color="auto"/>
              <w:right w:val="single" w:sz="4" w:space="0" w:color="auto"/>
            </w:tcBorders>
            <w:hideMark/>
          </w:tcPr>
          <w:p w14:paraId="2D86C679"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1064" w:type="dxa"/>
            <w:tcBorders>
              <w:top w:val="single" w:sz="4" w:space="0" w:color="auto"/>
              <w:left w:val="single" w:sz="4" w:space="0" w:color="auto"/>
              <w:bottom w:val="single" w:sz="4" w:space="0" w:color="auto"/>
              <w:right w:val="single" w:sz="4" w:space="0" w:color="auto"/>
            </w:tcBorders>
            <w:hideMark/>
          </w:tcPr>
          <w:p w14:paraId="2678D1AC"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1064" w:type="dxa"/>
            <w:tcBorders>
              <w:top w:val="single" w:sz="4" w:space="0" w:color="auto"/>
              <w:left w:val="single" w:sz="4" w:space="0" w:color="auto"/>
              <w:bottom w:val="single" w:sz="4" w:space="0" w:color="auto"/>
              <w:right w:val="single" w:sz="4" w:space="0" w:color="auto"/>
            </w:tcBorders>
            <w:hideMark/>
          </w:tcPr>
          <w:p w14:paraId="0410726E"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7</w:t>
            </w:r>
          </w:p>
        </w:tc>
      </w:tr>
      <w:tr w:rsidR="00FC0A22" w14:paraId="4403EF8D"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2A584B4C"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Чистые налоги и страховые взносы</w:t>
            </w:r>
          </w:p>
        </w:tc>
        <w:tc>
          <w:tcPr>
            <w:tcW w:w="1070" w:type="dxa"/>
            <w:tcBorders>
              <w:top w:val="single" w:sz="4" w:space="0" w:color="auto"/>
              <w:left w:val="single" w:sz="4" w:space="0" w:color="auto"/>
              <w:bottom w:val="single" w:sz="4" w:space="0" w:color="auto"/>
              <w:right w:val="single" w:sz="4" w:space="0" w:color="auto"/>
            </w:tcBorders>
            <w:hideMark/>
          </w:tcPr>
          <w:p w14:paraId="184D5D6E"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1602</w:t>
            </w:r>
            <w:r>
              <w:rPr>
                <w:rFonts w:ascii="Times New Roman" w:hAnsi="Times New Roman" w:cs="Times New Roman"/>
                <w:sz w:val="24"/>
                <w:szCs w:val="24"/>
                <w:lang w:val="en-US"/>
              </w:rPr>
              <w:t>8</w:t>
            </w:r>
          </w:p>
        </w:tc>
        <w:tc>
          <w:tcPr>
            <w:tcW w:w="1069" w:type="dxa"/>
            <w:tcBorders>
              <w:top w:val="single" w:sz="4" w:space="0" w:color="auto"/>
              <w:left w:val="single" w:sz="4" w:space="0" w:color="auto"/>
              <w:bottom w:val="single" w:sz="4" w:space="0" w:color="auto"/>
              <w:right w:val="single" w:sz="4" w:space="0" w:color="auto"/>
            </w:tcBorders>
            <w:hideMark/>
          </w:tcPr>
          <w:p w14:paraId="6B060EFD"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3035</w:t>
            </w:r>
          </w:p>
        </w:tc>
        <w:tc>
          <w:tcPr>
            <w:tcW w:w="1069" w:type="dxa"/>
            <w:tcBorders>
              <w:top w:val="single" w:sz="4" w:space="0" w:color="auto"/>
              <w:left w:val="single" w:sz="4" w:space="0" w:color="auto"/>
              <w:bottom w:val="single" w:sz="4" w:space="0" w:color="auto"/>
              <w:right w:val="single" w:sz="4" w:space="0" w:color="auto"/>
            </w:tcBorders>
            <w:hideMark/>
          </w:tcPr>
          <w:p w14:paraId="6279EB6E"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30318</w:t>
            </w:r>
          </w:p>
        </w:tc>
        <w:tc>
          <w:tcPr>
            <w:tcW w:w="1064" w:type="dxa"/>
            <w:tcBorders>
              <w:top w:val="single" w:sz="4" w:space="0" w:color="auto"/>
              <w:left w:val="single" w:sz="4" w:space="0" w:color="auto"/>
              <w:bottom w:val="single" w:sz="4" w:space="0" w:color="auto"/>
              <w:right w:val="single" w:sz="4" w:space="0" w:color="auto"/>
            </w:tcBorders>
            <w:hideMark/>
          </w:tcPr>
          <w:p w14:paraId="7A49CDF9"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74</w:t>
            </w:r>
          </w:p>
        </w:tc>
        <w:tc>
          <w:tcPr>
            <w:tcW w:w="1064" w:type="dxa"/>
            <w:tcBorders>
              <w:top w:val="single" w:sz="4" w:space="0" w:color="auto"/>
              <w:left w:val="single" w:sz="4" w:space="0" w:color="auto"/>
              <w:bottom w:val="single" w:sz="4" w:space="0" w:color="auto"/>
              <w:right w:val="single" w:sz="4" w:space="0" w:color="auto"/>
            </w:tcBorders>
            <w:hideMark/>
          </w:tcPr>
          <w:p w14:paraId="7C6FC2B0"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61</w:t>
            </w:r>
          </w:p>
        </w:tc>
        <w:tc>
          <w:tcPr>
            <w:tcW w:w="1064" w:type="dxa"/>
            <w:tcBorders>
              <w:top w:val="single" w:sz="4" w:space="0" w:color="auto"/>
              <w:left w:val="single" w:sz="4" w:space="0" w:color="auto"/>
              <w:bottom w:val="single" w:sz="4" w:space="0" w:color="auto"/>
              <w:right w:val="single" w:sz="4" w:space="0" w:color="auto"/>
            </w:tcBorders>
            <w:hideMark/>
          </w:tcPr>
          <w:p w14:paraId="668CD63E"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6</w:t>
            </w:r>
            <w:r>
              <w:rPr>
                <w:rFonts w:ascii="Times New Roman" w:hAnsi="Times New Roman" w:cs="Times New Roman"/>
                <w:sz w:val="24"/>
                <w:szCs w:val="24"/>
                <w:lang w:val="en-US"/>
              </w:rPr>
              <w:t>0</w:t>
            </w:r>
          </w:p>
        </w:tc>
      </w:tr>
      <w:tr w:rsidR="00FC0A22" w14:paraId="0D3D48FC"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6609C4B2"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Чистые доходы от собственности</w:t>
            </w:r>
          </w:p>
        </w:tc>
        <w:tc>
          <w:tcPr>
            <w:tcW w:w="1070" w:type="dxa"/>
            <w:tcBorders>
              <w:top w:val="single" w:sz="4" w:space="0" w:color="auto"/>
              <w:left w:val="single" w:sz="4" w:space="0" w:color="auto"/>
              <w:bottom w:val="single" w:sz="4" w:space="0" w:color="auto"/>
              <w:right w:val="single" w:sz="4" w:space="0" w:color="auto"/>
            </w:tcBorders>
            <w:hideMark/>
          </w:tcPr>
          <w:p w14:paraId="1FCBBDA7"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335</w:t>
            </w:r>
          </w:p>
        </w:tc>
        <w:tc>
          <w:tcPr>
            <w:tcW w:w="1069" w:type="dxa"/>
            <w:tcBorders>
              <w:top w:val="single" w:sz="4" w:space="0" w:color="auto"/>
              <w:left w:val="single" w:sz="4" w:space="0" w:color="auto"/>
              <w:bottom w:val="single" w:sz="4" w:space="0" w:color="auto"/>
              <w:right w:val="single" w:sz="4" w:space="0" w:color="auto"/>
            </w:tcBorders>
            <w:hideMark/>
          </w:tcPr>
          <w:p w14:paraId="6637731A"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385</w:t>
            </w:r>
            <w:r>
              <w:rPr>
                <w:rFonts w:ascii="Times New Roman" w:hAnsi="Times New Roman" w:cs="Times New Roman"/>
                <w:sz w:val="24"/>
                <w:szCs w:val="24"/>
                <w:lang w:val="en-US"/>
              </w:rPr>
              <w:t>0</w:t>
            </w:r>
          </w:p>
        </w:tc>
        <w:tc>
          <w:tcPr>
            <w:tcW w:w="1069" w:type="dxa"/>
            <w:tcBorders>
              <w:top w:val="single" w:sz="4" w:space="0" w:color="auto"/>
              <w:left w:val="single" w:sz="4" w:space="0" w:color="auto"/>
              <w:bottom w:val="single" w:sz="4" w:space="0" w:color="auto"/>
              <w:right w:val="single" w:sz="4" w:space="0" w:color="auto"/>
            </w:tcBorders>
            <w:hideMark/>
          </w:tcPr>
          <w:p w14:paraId="78479890"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6581</w:t>
            </w:r>
          </w:p>
        </w:tc>
        <w:tc>
          <w:tcPr>
            <w:tcW w:w="1064" w:type="dxa"/>
            <w:tcBorders>
              <w:top w:val="single" w:sz="4" w:space="0" w:color="auto"/>
              <w:left w:val="single" w:sz="4" w:space="0" w:color="auto"/>
              <w:bottom w:val="single" w:sz="4" w:space="0" w:color="auto"/>
              <w:right w:val="single" w:sz="4" w:space="0" w:color="auto"/>
            </w:tcBorders>
            <w:hideMark/>
          </w:tcPr>
          <w:p w14:paraId="6DB4D0A2"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1064" w:type="dxa"/>
            <w:tcBorders>
              <w:top w:val="single" w:sz="4" w:space="0" w:color="auto"/>
              <w:left w:val="single" w:sz="4" w:space="0" w:color="auto"/>
              <w:bottom w:val="single" w:sz="4" w:space="0" w:color="auto"/>
              <w:right w:val="single" w:sz="4" w:space="0" w:color="auto"/>
            </w:tcBorders>
            <w:hideMark/>
          </w:tcPr>
          <w:p w14:paraId="4CB4CEA9"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10</w:t>
            </w:r>
          </w:p>
        </w:tc>
        <w:tc>
          <w:tcPr>
            <w:tcW w:w="1064" w:type="dxa"/>
            <w:tcBorders>
              <w:top w:val="single" w:sz="4" w:space="0" w:color="auto"/>
              <w:left w:val="single" w:sz="4" w:space="0" w:color="auto"/>
              <w:bottom w:val="single" w:sz="4" w:space="0" w:color="auto"/>
              <w:right w:val="single" w:sz="4" w:space="0" w:color="auto"/>
            </w:tcBorders>
            <w:hideMark/>
          </w:tcPr>
          <w:p w14:paraId="4F691451"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r>
      <w:tr w:rsidR="00FC0A22" w14:paraId="1D88EBA6"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0325B20F" w14:textId="77777777" w:rsidR="00FC0A22" w:rsidRDefault="00FC0A22">
            <w:pPr>
              <w:spacing w:line="256" w:lineRule="auto"/>
              <w:jc w:val="both"/>
              <w:rPr>
                <w:rFonts w:ascii="Times New Roman" w:hAnsi="Times New Roman" w:cs="Times New Roman"/>
                <w:b/>
                <w:sz w:val="24"/>
                <w:szCs w:val="24"/>
              </w:rPr>
            </w:pPr>
            <w:r>
              <w:rPr>
                <w:rFonts w:ascii="Times New Roman" w:hAnsi="Times New Roman" w:cs="Times New Roman"/>
                <w:b/>
                <w:sz w:val="24"/>
                <w:szCs w:val="24"/>
              </w:rPr>
              <w:t>Использование, в том числе:</w:t>
            </w:r>
          </w:p>
        </w:tc>
        <w:tc>
          <w:tcPr>
            <w:tcW w:w="1070" w:type="dxa"/>
            <w:tcBorders>
              <w:top w:val="single" w:sz="4" w:space="0" w:color="auto"/>
              <w:left w:val="single" w:sz="4" w:space="0" w:color="auto"/>
              <w:bottom w:val="single" w:sz="4" w:space="0" w:color="auto"/>
              <w:right w:val="single" w:sz="4" w:space="0" w:color="auto"/>
            </w:tcBorders>
            <w:hideMark/>
          </w:tcPr>
          <w:p w14:paraId="582C9A00"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22124</w:t>
            </w:r>
          </w:p>
        </w:tc>
        <w:tc>
          <w:tcPr>
            <w:tcW w:w="1069" w:type="dxa"/>
            <w:tcBorders>
              <w:top w:val="single" w:sz="4" w:space="0" w:color="auto"/>
              <w:left w:val="single" w:sz="4" w:space="0" w:color="auto"/>
              <w:bottom w:val="single" w:sz="4" w:space="0" w:color="auto"/>
              <w:right w:val="single" w:sz="4" w:space="0" w:color="auto"/>
            </w:tcBorders>
            <w:hideMark/>
          </w:tcPr>
          <w:p w14:paraId="421CE6D1"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rPr>
              <w:t>39</w:t>
            </w:r>
            <w:r>
              <w:rPr>
                <w:rFonts w:ascii="Times New Roman" w:hAnsi="Times New Roman" w:cs="Times New Roman"/>
                <w:b/>
                <w:sz w:val="24"/>
                <w:szCs w:val="24"/>
                <w:lang w:val="en-US"/>
              </w:rPr>
              <w:t>534</w:t>
            </w:r>
          </w:p>
        </w:tc>
        <w:tc>
          <w:tcPr>
            <w:tcW w:w="1069" w:type="dxa"/>
            <w:tcBorders>
              <w:top w:val="single" w:sz="4" w:space="0" w:color="auto"/>
              <w:left w:val="single" w:sz="4" w:space="0" w:color="auto"/>
              <w:bottom w:val="single" w:sz="4" w:space="0" w:color="auto"/>
              <w:right w:val="single" w:sz="4" w:space="0" w:color="auto"/>
            </w:tcBorders>
            <w:hideMark/>
          </w:tcPr>
          <w:p w14:paraId="69CFB139"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rPr>
              <w:t>4</w:t>
            </w:r>
            <w:r>
              <w:rPr>
                <w:rFonts w:ascii="Times New Roman" w:hAnsi="Times New Roman" w:cs="Times New Roman"/>
                <w:b/>
                <w:sz w:val="24"/>
                <w:szCs w:val="24"/>
                <w:lang w:val="en-US"/>
              </w:rPr>
              <w:t>7195</w:t>
            </w:r>
          </w:p>
        </w:tc>
        <w:tc>
          <w:tcPr>
            <w:tcW w:w="1064" w:type="dxa"/>
            <w:tcBorders>
              <w:top w:val="single" w:sz="4" w:space="0" w:color="auto"/>
              <w:left w:val="single" w:sz="4" w:space="0" w:color="auto"/>
              <w:bottom w:val="single" w:sz="4" w:space="0" w:color="auto"/>
              <w:right w:val="single" w:sz="4" w:space="0" w:color="auto"/>
            </w:tcBorders>
            <w:hideMark/>
          </w:tcPr>
          <w:p w14:paraId="5FCEB49E"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c>
          <w:tcPr>
            <w:tcW w:w="1064" w:type="dxa"/>
            <w:tcBorders>
              <w:top w:val="single" w:sz="4" w:space="0" w:color="auto"/>
              <w:left w:val="single" w:sz="4" w:space="0" w:color="auto"/>
              <w:bottom w:val="single" w:sz="4" w:space="0" w:color="auto"/>
              <w:right w:val="single" w:sz="4" w:space="0" w:color="auto"/>
            </w:tcBorders>
            <w:hideMark/>
          </w:tcPr>
          <w:p w14:paraId="17F3F43B"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c>
          <w:tcPr>
            <w:tcW w:w="1064" w:type="dxa"/>
            <w:tcBorders>
              <w:top w:val="single" w:sz="4" w:space="0" w:color="auto"/>
              <w:left w:val="single" w:sz="4" w:space="0" w:color="auto"/>
              <w:bottom w:val="single" w:sz="4" w:space="0" w:color="auto"/>
              <w:right w:val="single" w:sz="4" w:space="0" w:color="auto"/>
            </w:tcBorders>
            <w:hideMark/>
          </w:tcPr>
          <w:p w14:paraId="04ED4551"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100</w:t>
            </w:r>
          </w:p>
        </w:tc>
      </w:tr>
      <w:tr w:rsidR="00FC0A22" w14:paraId="628FB6CB"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28C51420"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Оплата труда</w:t>
            </w:r>
          </w:p>
        </w:tc>
        <w:tc>
          <w:tcPr>
            <w:tcW w:w="1070" w:type="dxa"/>
            <w:tcBorders>
              <w:top w:val="single" w:sz="4" w:space="0" w:color="auto"/>
              <w:left w:val="single" w:sz="4" w:space="0" w:color="auto"/>
              <w:bottom w:val="single" w:sz="4" w:space="0" w:color="auto"/>
              <w:right w:val="single" w:sz="4" w:space="0" w:color="auto"/>
            </w:tcBorders>
            <w:hideMark/>
          </w:tcPr>
          <w:p w14:paraId="2BA1DAC8"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4879</w:t>
            </w:r>
          </w:p>
        </w:tc>
        <w:tc>
          <w:tcPr>
            <w:tcW w:w="1069" w:type="dxa"/>
            <w:tcBorders>
              <w:top w:val="single" w:sz="4" w:space="0" w:color="auto"/>
              <w:left w:val="single" w:sz="4" w:space="0" w:color="auto"/>
              <w:bottom w:val="single" w:sz="4" w:space="0" w:color="auto"/>
              <w:right w:val="single" w:sz="4" w:space="0" w:color="auto"/>
            </w:tcBorders>
            <w:hideMark/>
          </w:tcPr>
          <w:p w14:paraId="7B52E53F"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8457</w:t>
            </w:r>
          </w:p>
        </w:tc>
        <w:tc>
          <w:tcPr>
            <w:tcW w:w="1069" w:type="dxa"/>
            <w:tcBorders>
              <w:top w:val="single" w:sz="4" w:space="0" w:color="auto"/>
              <w:left w:val="single" w:sz="4" w:space="0" w:color="auto"/>
              <w:bottom w:val="single" w:sz="4" w:space="0" w:color="auto"/>
              <w:right w:val="single" w:sz="4" w:space="0" w:color="auto"/>
            </w:tcBorders>
            <w:hideMark/>
          </w:tcPr>
          <w:p w14:paraId="3631A3BD"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10170</w:t>
            </w:r>
          </w:p>
        </w:tc>
        <w:tc>
          <w:tcPr>
            <w:tcW w:w="1064" w:type="dxa"/>
            <w:tcBorders>
              <w:top w:val="single" w:sz="4" w:space="0" w:color="auto"/>
              <w:left w:val="single" w:sz="4" w:space="0" w:color="auto"/>
              <w:bottom w:val="single" w:sz="4" w:space="0" w:color="auto"/>
              <w:right w:val="single" w:sz="4" w:space="0" w:color="auto"/>
            </w:tcBorders>
            <w:hideMark/>
          </w:tcPr>
          <w:p w14:paraId="29635B42"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22</w:t>
            </w:r>
          </w:p>
        </w:tc>
        <w:tc>
          <w:tcPr>
            <w:tcW w:w="1064" w:type="dxa"/>
            <w:tcBorders>
              <w:top w:val="single" w:sz="4" w:space="0" w:color="auto"/>
              <w:left w:val="single" w:sz="4" w:space="0" w:color="auto"/>
              <w:bottom w:val="single" w:sz="4" w:space="0" w:color="auto"/>
              <w:right w:val="single" w:sz="4" w:space="0" w:color="auto"/>
            </w:tcBorders>
            <w:hideMark/>
          </w:tcPr>
          <w:p w14:paraId="63B0C565"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1</w:t>
            </w:r>
          </w:p>
        </w:tc>
        <w:tc>
          <w:tcPr>
            <w:tcW w:w="1064" w:type="dxa"/>
            <w:tcBorders>
              <w:top w:val="single" w:sz="4" w:space="0" w:color="auto"/>
              <w:left w:val="single" w:sz="4" w:space="0" w:color="auto"/>
              <w:bottom w:val="single" w:sz="4" w:space="0" w:color="auto"/>
              <w:right w:val="single" w:sz="4" w:space="0" w:color="auto"/>
            </w:tcBorders>
            <w:hideMark/>
          </w:tcPr>
          <w:p w14:paraId="0F91AC67"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r>
      <w:tr w:rsidR="00FC0A22" w14:paraId="6CCE43F3"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3E647F9C"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Социальные выплаты</w:t>
            </w:r>
          </w:p>
        </w:tc>
        <w:tc>
          <w:tcPr>
            <w:tcW w:w="1070" w:type="dxa"/>
            <w:tcBorders>
              <w:top w:val="single" w:sz="4" w:space="0" w:color="auto"/>
              <w:left w:val="single" w:sz="4" w:space="0" w:color="auto"/>
              <w:bottom w:val="single" w:sz="4" w:space="0" w:color="auto"/>
              <w:right w:val="single" w:sz="4" w:space="0" w:color="auto"/>
            </w:tcBorders>
            <w:hideMark/>
          </w:tcPr>
          <w:p w14:paraId="308052CC"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5101</w:t>
            </w:r>
          </w:p>
        </w:tc>
        <w:tc>
          <w:tcPr>
            <w:tcW w:w="1069" w:type="dxa"/>
            <w:tcBorders>
              <w:top w:val="single" w:sz="4" w:space="0" w:color="auto"/>
              <w:left w:val="single" w:sz="4" w:space="0" w:color="auto"/>
              <w:bottom w:val="single" w:sz="4" w:space="0" w:color="auto"/>
              <w:right w:val="single" w:sz="4" w:space="0" w:color="auto"/>
            </w:tcBorders>
            <w:hideMark/>
          </w:tcPr>
          <w:p w14:paraId="45F52EC1"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8355</w:t>
            </w:r>
          </w:p>
        </w:tc>
        <w:tc>
          <w:tcPr>
            <w:tcW w:w="1069" w:type="dxa"/>
            <w:tcBorders>
              <w:top w:val="single" w:sz="4" w:space="0" w:color="auto"/>
              <w:left w:val="single" w:sz="4" w:space="0" w:color="auto"/>
              <w:bottom w:val="single" w:sz="4" w:space="0" w:color="auto"/>
              <w:right w:val="single" w:sz="4" w:space="0" w:color="auto"/>
            </w:tcBorders>
            <w:hideMark/>
          </w:tcPr>
          <w:p w14:paraId="6A0F895D"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10100</w:t>
            </w:r>
          </w:p>
        </w:tc>
        <w:tc>
          <w:tcPr>
            <w:tcW w:w="1064" w:type="dxa"/>
            <w:tcBorders>
              <w:top w:val="single" w:sz="4" w:space="0" w:color="auto"/>
              <w:left w:val="single" w:sz="4" w:space="0" w:color="auto"/>
              <w:bottom w:val="single" w:sz="4" w:space="0" w:color="auto"/>
              <w:right w:val="single" w:sz="4" w:space="0" w:color="auto"/>
            </w:tcBorders>
            <w:hideMark/>
          </w:tcPr>
          <w:p w14:paraId="71159A29"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23</w:t>
            </w:r>
          </w:p>
        </w:tc>
        <w:tc>
          <w:tcPr>
            <w:tcW w:w="1064" w:type="dxa"/>
            <w:tcBorders>
              <w:top w:val="single" w:sz="4" w:space="0" w:color="auto"/>
              <w:left w:val="single" w:sz="4" w:space="0" w:color="auto"/>
              <w:bottom w:val="single" w:sz="4" w:space="0" w:color="auto"/>
              <w:right w:val="single" w:sz="4" w:space="0" w:color="auto"/>
            </w:tcBorders>
            <w:hideMark/>
          </w:tcPr>
          <w:p w14:paraId="64C80DE1"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21</w:t>
            </w:r>
          </w:p>
        </w:tc>
        <w:tc>
          <w:tcPr>
            <w:tcW w:w="1064" w:type="dxa"/>
            <w:tcBorders>
              <w:top w:val="single" w:sz="4" w:space="0" w:color="auto"/>
              <w:left w:val="single" w:sz="4" w:space="0" w:color="auto"/>
              <w:bottom w:val="single" w:sz="4" w:space="0" w:color="auto"/>
              <w:right w:val="single" w:sz="4" w:space="0" w:color="auto"/>
            </w:tcBorders>
            <w:hideMark/>
          </w:tcPr>
          <w:p w14:paraId="69C95BA9"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1</w:t>
            </w:r>
          </w:p>
        </w:tc>
      </w:tr>
      <w:tr w:rsidR="00FC0A22" w14:paraId="547E6A83"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4011AE26"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Трансферты в натуральной форме</w:t>
            </w:r>
          </w:p>
        </w:tc>
        <w:tc>
          <w:tcPr>
            <w:tcW w:w="1070" w:type="dxa"/>
            <w:tcBorders>
              <w:top w:val="single" w:sz="4" w:space="0" w:color="auto"/>
              <w:left w:val="single" w:sz="4" w:space="0" w:color="auto"/>
              <w:bottom w:val="single" w:sz="4" w:space="0" w:color="auto"/>
              <w:right w:val="single" w:sz="4" w:space="0" w:color="auto"/>
            </w:tcBorders>
            <w:hideMark/>
          </w:tcPr>
          <w:p w14:paraId="0152BECD"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4119</w:t>
            </w:r>
          </w:p>
        </w:tc>
        <w:tc>
          <w:tcPr>
            <w:tcW w:w="1069" w:type="dxa"/>
            <w:tcBorders>
              <w:top w:val="single" w:sz="4" w:space="0" w:color="auto"/>
              <w:left w:val="single" w:sz="4" w:space="0" w:color="auto"/>
              <w:bottom w:val="single" w:sz="4" w:space="0" w:color="auto"/>
              <w:right w:val="single" w:sz="4" w:space="0" w:color="auto"/>
            </w:tcBorders>
            <w:hideMark/>
          </w:tcPr>
          <w:p w14:paraId="5E6E6D87"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6408</w:t>
            </w:r>
          </w:p>
        </w:tc>
        <w:tc>
          <w:tcPr>
            <w:tcW w:w="1069" w:type="dxa"/>
            <w:tcBorders>
              <w:top w:val="single" w:sz="4" w:space="0" w:color="auto"/>
              <w:left w:val="single" w:sz="4" w:space="0" w:color="auto"/>
              <w:bottom w:val="single" w:sz="4" w:space="0" w:color="auto"/>
              <w:right w:val="single" w:sz="4" w:space="0" w:color="auto"/>
            </w:tcBorders>
            <w:hideMark/>
          </w:tcPr>
          <w:p w14:paraId="4D6CB095"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7792</w:t>
            </w:r>
          </w:p>
        </w:tc>
        <w:tc>
          <w:tcPr>
            <w:tcW w:w="1064" w:type="dxa"/>
            <w:tcBorders>
              <w:top w:val="single" w:sz="4" w:space="0" w:color="auto"/>
              <w:left w:val="single" w:sz="4" w:space="0" w:color="auto"/>
              <w:bottom w:val="single" w:sz="4" w:space="0" w:color="auto"/>
              <w:right w:val="single" w:sz="4" w:space="0" w:color="auto"/>
            </w:tcBorders>
            <w:hideMark/>
          </w:tcPr>
          <w:p w14:paraId="5DBF0F95"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19</w:t>
            </w:r>
          </w:p>
        </w:tc>
        <w:tc>
          <w:tcPr>
            <w:tcW w:w="1064" w:type="dxa"/>
            <w:tcBorders>
              <w:top w:val="single" w:sz="4" w:space="0" w:color="auto"/>
              <w:left w:val="single" w:sz="4" w:space="0" w:color="auto"/>
              <w:bottom w:val="single" w:sz="4" w:space="0" w:color="auto"/>
              <w:right w:val="single" w:sz="4" w:space="0" w:color="auto"/>
            </w:tcBorders>
            <w:hideMark/>
          </w:tcPr>
          <w:p w14:paraId="05C59D9A"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16</w:t>
            </w:r>
          </w:p>
        </w:tc>
        <w:tc>
          <w:tcPr>
            <w:tcW w:w="1064" w:type="dxa"/>
            <w:tcBorders>
              <w:top w:val="single" w:sz="4" w:space="0" w:color="auto"/>
              <w:left w:val="single" w:sz="4" w:space="0" w:color="auto"/>
              <w:bottom w:val="single" w:sz="4" w:space="0" w:color="auto"/>
              <w:right w:val="single" w:sz="4" w:space="0" w:color="auto"/>
            </w:tcBorders>
            <w:hideMark/>
          </w:tcPr>
          <w:p w14:paraId="093BC197"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7</w:t>
            </w:r>
          </w:p>
        </w:tc>
      </w:tr>
      <w:tr w:rsidR="00FC0A22" w14:paraId="37FD7D2C"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10C90753"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 xml:space="preserve">Государственное потребление </w:t>
            </w:r>
          </w:p>
        </w:tc>
        <w:tc>
          <w:tcPr>
            <w:tcW w:w="1070" w:type="dxa"/>
            <w:tcBorders>
              <w:top w:val="single" w:sz="4" w:space="0" w:color="auto"/>
              <w:left w:val="single" w:sz="4" w:space="0" w:color="auto"/>
              <w:bottom w:val="single" w:sz="4" w:space="0" w:color="auto"/>
              <w:right w:val="single" w:sz="4" w:space="0" w:color="auto"/>
            </w:tcBorders>
            <w:hideMark/>
          </w:tcPr>
          <w:p w14:paraId="0B2AA591"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4553</w:t>
            </w:r>
          </w:p>
        </w:tc>
        <w:tc>
          <w:tcPr>
            <w:tcW w:w="1069" w:type="dxa"/>
            <w:tcBorders>
              <w:top w:val="single" w:sz="4" w:space="0" w:color="auto"/>
              <w:left w:val="single" w:sz="4" w:space="0" w:color="auto"/>
              <w:bottom w:val="single" w:sz="4" w:space="0" w:color="auto"/>
              <w:right w:val="single" w:sz="4" w:space="0" w:color="auto"/>
            </w:tcBorders>
            <w:hideMark/>
          </w:tcPr>
          <w:p w14:paraId="7E1E57CE"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8</w:t>
            </w:r>
            <w:r>
              <w:rPr>
                <w:rFonts w:ascii="Times New Roman" w:hAnsi="Times New Roman" w:cs="Times New Roman"/>
                <w:sz w:val="24"/>
                <w:szCs w:val="24"/>
                <w:lang w:val="en-US"/>
              </w:rPr>
              <w:t>353</w:t>
            </w:r>
          </w:p>
        </w:tc>
        <w:tc>
          <w:tcPr>
            <w:tcW w:w="1069" w:type="dxa"/>
            <w:tcBorders>
              <w:top w:val="single" w:sz="4" w:space="0" w:color="auto"/>
              <w:left w:val="single" w:sz="4" w:space="0" w:color="auto"/>
              <w:bottom w:val="single" w:sz="4" w:space="0" w:color="auto"/>
              <w:right w:val="single" w:sz="4" w:space="0" w:color="auto"/>
            </w:tcBorders>
            <w:hideMark/>
          </w:tcPr>
          <w:p w14:paraId="6D1B7983"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10602</w:t>
            </w:r>
          </w:p>
        </w:tc>
        <w:tc>
          <w:tcPr>
            <w:tcW w:w="1064" w:type="dxa"/>
            <w:tcBorders>
              <w:top w:val="single" w:sz="4" w:space="0" w:color="auto"/>
              <w:left w:val="single" w:sz="4" w:space="0" w:color="auto"/>
              <w:bottom w:val="single" w:sz="4" w:space="0" w:color="auto"/>
              <w:right w:val="single" w:sz="4" w:space="0" w:color="auto"/>
            </w:tcBorders>
            <w:hideMark/>
          </w:tcPr>
          <w:p w14:paraId="52118436"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21</w:t>
            </w:r>
          </w:p>
        </w:tc>
        <w:tc>
          <w:tcPr>
            <w:tcW w:w="1064" w:type="dxa"/>
            <w:tcBorders>
              <w:top w:val="single" w:sz="4" w:space="0" w:color="auto"/>
              <w:left w:val="single" w:sz="4" w:space="0" w:color="auto"/>
              <w:bottom w:val="single" w:sz="4" w:space="0" w:color="auto"/>
              <w:right w:val="single" w:sz="4" w:space="0" w:color="auto"/>
            </w:tcBorders>
            <w:hideMark/>
          </w:tcPr>
          <w:p w14:paraId="0509DB92"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21</w:t>
            </w:r>
          </w:p>
        </w:tc>
        <w:tc>
          <w:tcPr>
            <w:tcW w:w="1064" w:type="dxa"/>
            <w:tcBorders>
              <w:top w:val="single" w:sz="4" w:space="0" w:color="auto"/>
              <w:left w:val="single" w:sz="4" w:space="0" w:color="auto"/>
              <w:bottom w:val="single" w:sz="4" w:space="0" w:color="auto"/>
              <w:right w:val="single" w:sz="4" w:space="0" w:color="auto"/>
            </w:tcBorders>
            <w:hideMark/>
          </w:tcPr>
          <w:p w14:paraId="66391C3F"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r>
      <w:tr w:rsidR="00FC0A22" w14:paraId="7C7E9203"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12B7C420" w14:textId="77777777" w:rsidR="00FC0A22" w:rsidRDefault="00FC0A22">
            <w:pPr>
              <w:spacing w:line="256" w:lineRule="auto"/>
              <w:jc w:val="both"/>
              <w:rPr>
                <w:rFonts w:ascii="Times New Roman" w:hAnsi="Times New Roman" w:cs="Times New Roman"/>
                <w:sz w:val="24"/>
                <w:szCs w:val="24"/>
              </w:rPr>
            </w:pPr>
            <w:r>
              <w:rPr>
                <w:rFonts w:ascii="Times New Roman" w:hAnsi="Times New Roman" w:cs="Times New Roman"/>
                <w:sz w:val="24"/>
                <w:szCs w:val="24"/>
              </w:rPr>
              <w:t>Инвестиции</w:t>
            </w:r>
          </w:p>
        </w:tc>
        <w:tc>
          <w:tcPr>
            <w:tcW w:w="1070" w:type="dxa"/>
            <w:tcBorders>
              <w:top w:val="single" w:sz="4" w:space="0" w:color="auto"/>
              <w:left w:val="single" w:sz="4" w:space="0" w:color="auto"/>
              <w:bottom w:val="single" w:sz="4" w:space="0" w:color="auto"/>
              <w:right w:val="single" w:sz="4" w:space="0" w:color="auto"/>
            </w:tcBorders>
            <w:hideMark/>
          </w:tcPr>
          <w:p w14:paraId="2EEBA983"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2535</w:t>
            </w:r>
          </w:p>
        </w:tc>
        <w:tc>
          <w:tcPr>
            <w:tcW w:w="1069" w:type="dxa"/>
            <w:tcBorders>
              <w:top w:val="single" w:sz="4" w:space="0" w:color="auto"/>
              <w:left w:val="single" w:sz="4" w:space="0" w:color="auto"/>
              <w:bottom w:val="single" w:sz="4" w:space="0" w:color="auto"/>
              <w:right w:val="single" w:sz="4" w:space="0" w:color="auto"/>
            </w:tcBorders>
            <w:hideMark/>
          </w:tcPr>
          <w:p w14:paraId="21D2CEAC"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lang w:val="en-US"/>
              </w:rPr>
              <w:t>5230</w:t>
            </w:r>
          </w:p>
        </w:tc>
        <w:tc>
          <w:tcPr>
            <w:tcW w:w="1069" w:type="dxa"/>
            <w:tcBorders>
              <w:top w:val="single" w:sz="4" w:space="0" w:color="auto"/>
              <w:left w:val="single" w:sz="4" w:space="0" w:color="auto"/>
              <w:bottom w:val="single" w:sz="4" w:space="0" w:color="auto"/>
              <w:right w:val="single" w:sz="4" w:space="0" w:color="auto"/>
            </w:tcBorders>
            <w:hideMark/>
          </w:tcPr>
          <w:p w14:paraId="2F4F6C49"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334</w:t>
            </w:r>
          </w:p>
        </w:tc>
        <w:tc>
          <w:tcPr>
            <w:tcW w:w="1064" w:type="dxa"/>
            <w:tcBorders>
              <w:top w:val="single" w:sz="4" w:space="0" w:color="auto"/>
              <w:left w:val="single" w:sz="4" w:space="0" w:color="auto"/>
              <w:bottom w:val="single" w:sz="4" w:space="0" w:color="auto"/>
              <w:right w:val="single" w:sz="4" w:space="0" w:color="auto"/>
            </w:tcBorders>
            <w:hideMark/>
          </w:tcPr>
          <w:p w14:paraId="14F9F128" w14:textId="77777777" w:rsidR="00FC0A22" w:rsidRDefault="00FC0A22">
            <w:pPr>
              <w:spacing w:line="256" w:lineRule="auto"/>
              <w:jc w:val="right"/>
              <w:rPr>
                <w:rFonts w:ascii="Times New Roman" w:hAnsi="Times New Roman" w:cs="Times New Roman"/>
                <w:sz w:val="24"/>
                <w:szCs w:val="24"/>
              </w:rPr>
            </w:pPr>
            <w:r>
              <w:rPr>
                <w:rFonts w:ascii="Times New Roman" w:hAnsi="Times New Roman" w:cs="Times New Roman"/>
                <w:sz w:val="24"/>
                <w:szCs w:val="24"/>
              </w:rPr>
              <w:t>11</w:t>
            </w:r>
          </w:p>
        </w:tc>
        <w:tc>
          <w:tcPr>
            <w:tcW w:w="1064" w:type="dxa"/>
            <w:tcBorders>
              <w:top w:val="single" w:sz="4" w:space="0" w:color="auto"/>
              <w:left w:val="single" w:sz="4" w:space="0" w:color="auto"/>
              <w:bottom w:val="single" w:sz="4" w:space="0" w:color="auto"/>
              <w:right w:val="single" w:sz="4" w:space="0" w:color="auto"/>
            </w:tcBorders>
            <w:hideMark/>
          </w:tcPr>
          <w:p w14:paraId="53A54DB1"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1064" w:type="dxa"/>
            <w:tcBorders>
              <w:top w:val="single" w:sz="4" w:space="0" w:color="auto"/>
              <w:left w:val="single" w:sz="4" w:space="0" w:color="auto"/>
              <w:bottom w:val="single" w:sz="4" w:space="0" w:color="auto"/>
              <w:right w:val="single" w:sz="4" w:space="0" w:color="auto"/>
            </w:tcBorders>
            <w:hideMark/>
          </w:tcPr>
          <w:p w14:paraId="07A2680E" w14:textId="77777777" w:rsidR="00FC0A22" w:rsidRDefault="00FC0A22">
            <w:pPr>
              <w:spacing w:line="256" w:lineRule="auto"/>
              <w:jc w:val="right"/>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1</w:t>
            </w:r>
          </w:p>
        </w:tc>
      </w:tr>
      <w:tr w:rsidR="00FC0A22" w14:paraId="64057E10" w14:textId="77777777" w:rsidTr="00FC0A22">
        <w:tc>
          <w:tcPr>
            <w:tcW w:w="2945" w:type="dxa"/>
            <w:tcBorders>
              <w:top w:val="single" w:sz="4" w:space="0" w:color="auto"/>
              <w:left w:val="single" w:sz="4" w:space="0" w:color="auto"/>
              <w:bottom w:val="single" w:sz="4" w:space="0" w:color="auto"/>
              <w:right w:val="single" w:sz="4" w:space="0" w:color="auto"/>
            </w:tcBorders>
            <w:hideMark/>
          </w:tcPr>
          <w:p w14:paraId="1EB46E62" w14:textId="77777777" w:rsidR="00FC0A22" w:rsidRDefault="00FC0A22">
            <w:pPr>
              <w:spacing w:line="256" w:lineRule="auto"/>
              <w:jc w:val="both"/>
              <w:rPr>
                <w:rFonts w:ascii="Times New Roman" w:hAnsi="Times New Roman" w:cs="Times New Roman"/>
                <w:b/>
                <w:sz w:val="24"/>
                <w:szCs w:val="24"/>
              </w:rPr>
            </w:pPr>
            <w:r>
              <w:rPr>
                <w:rFonts w:ascii="Times New Roman" w:hAnsi="Times New Roman" w:cs="Times New Roman"/>
                <w:b/>
                <w:sz w:val="24"/>
                <w:szCs w:val="24"/>
              </w:rPr>
              <w:t>Сбережения</w:t>
            </w:r>
          </w:p>
        </w:tc>
        <w:tc>
          <w:tcPr>
            <w:tcW w:w="1070" w:type="dxa"/>
            <w:tcBorders>
              <w:top w:val="single" w:sz="4" w:space="0" w:color="auto"/>
              <w:left w:val="single" w:sz="4" w:space="0" w:color="auto"/>
              <w:bottom w:val="single" w:sz="4" w:space="0" w:color="auto"/>
              <w:right w:val="single" w:sz="4" w:space="0" w:color="auto"/>
            </w:tcBorders>
            <w:hideMark/>
          </w:tcPr>
          <w:p w14:paraId="0AFB71A8"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-567</w:t>
            </w:r>
          </w:p>
        </w:tc>
        <w:tc>
          <w:tcPr>
            <w:tcW w:w="1069" w:type="dxa"/>
            <w:tcBorders>
              <w:top w:val="single" w:sz="4" w:space="0" w:color="auto"/>
              <w:left w:val="single" w:sz="4" w:space="0" w:color="auto"/>
              <w:bottom w:val="single" w:sz="4" w:space="0" w:color="auto"/>
              <w:right w:val="single" w:sz="4" w:space="0" w:color="auto"/>
            </w:tcBorders>
            <w:hideMark/>
          </w:tcPr>
          <w:p w14:paraId="6B43FB84"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rPr>
              <w:t>-1</w:t>
            </w:r>
            <w:r>
              <w:rPr>
                <w:rFonts w:ascii="Times New Roman" w:hAnsi="Times New Roman" w:cs="Times New Roman"/>
                <w:b/>
                <w:sz w:val="24"/>
                <w:szCs w:val="24"/>
                <w:lang w:val="en-US"/>
              </w:rPr>
              <w:t>600</w:t>
            </w:r>
          </w:p>
        </w:tc>
        <w:tc>
          <w:tcPr>
            <w:tcW w:w="1069" w:type="dxa"/>
            <w:tcBorders>
              <w:top w:val="single" w:sz="4" w:space="0" w:color="auto"/>
              <w:left w:val="single" w:sz="4" w:space="0" w:color="auto"/>
              <w:bottom w:val="single" w:sz="4" w:space="0" w:color="auto"/>
              <w:right w:val="single" w:sz="4" w:space="0" w:color="auto"/>
            </w:tcBorders>
            <w:hideMark/>
          </w:tcPr>
          <w:p w14:paraId="2A14EDB7" w14:textId="77777777" w:rsidR="00FC0A22" w:rsidRDefault="00FC0A22">
            <w:pPr>
              <w:spacing w:line="256" w:lineRule="auto"/>
              <w:jc w:val="right"/>
              <w:rPr>
                <w:rFonts w:ascii="Times New Roman" w:hAnsi="Times New Roman" w:cs="Times New Roman"/>
                <w:b/>
                <w:sz w:val="24"/>
                <w:szCs w:val="24"/>
                <w:lang w:val="en-US"/>
              </w:rPr>
            </w:pPr>
            <w:r>
              <w:rPr>
                <w:rFonts w:ascii="Times New Roman" w:hAnsi="Times New Roman" w:cs="Times New Roman"/>
                <w:b/>
                <w:sz w:val="24"/>
                <w:szCs w:val="24"/>
                <w:lang w:val="en-US"/>
              </w:rPr>
              <w:t>+3329</w:t>
            </w:r>
          </w:p>
        </w:tc>
        <w:tc>
          <w:tcPr>
            <w:tcW w:w="1064" w:type="dxa"/>
            <w:tcBorders>
              <w:top w:val="single" w:sz="4" w:space="0" w:color="auto"/>
              <w:left w:val="single" w:sz="4" w:space="0" w:color="auto"/>
              <w:bottom w:val="single" w:sz="4" w:space="0" w:color="auto"/>
              <w:right w:val="single" w:sz="4" w:space="0" w:color="auto"/>
            </w:tcBorders>
            <w:hideMark/>
          </w:tcPr>
          <w:p w14:paraId="7FF05B92"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w:t>
            </w:r>
          </w:p>
        </w:tc>
        <w:tc>
          <w:tcPr>
            <w:tcW w:w="1064" w:type="dxa"/>
            <w:tcBorders>
              <w:top w:val="single" w:sz="4" w:space="0" w:color="auto"/>
              <w:left w:val="single" w:sz="4" w:space="0" w:color="auto"/>
              <w:bottom w:val="single" w:sz="4" w:space="0" w:color="auto"/>
              <w:right w:val="single" w:sz="4" w:space="0" w:color="auto"/>
            </w:tcBorders>
            <w:hideMark/>
          </w:tcPr>
          <w:p w14:paraId="42F5E4ED"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w:t>
            </w:r>
          </w:p>
        </w:tc>
        <w:tc>
          <w:tcPr>
            <w:tcW w:w="1064" w:type="dxa"/>
            <w:tcBorders>
              <w:top w:val="single" w:sz="4" w:space="0" w:color="auto"/>
              <w:left w:val="single" w:sz="4" w:space="0" w:color="auto"/>
              <w:bottom w:val="single" w:sz="4" w:space="0" w:color="auto"/>
              <w:right w:val="single" w:sz="4" w:space="0" w:color="auto"/>
            </w:tcBorders>
            <w:hideMark/>
          </w:tcPr>
          <w:p w14:paraId="6E5C3FB9" w14:textId="77777777" w:rsidR="00FC0A22" w:rsidRDefault="00FC0A22">
            <w:pPr>
              <w:spacing w:line="256" w:lineRule="auto"/>
              <w:jc w:val="right"/>
              <w:rPr>
                <w:rFonts w:ascii="Times New Roman" w:hAnsi="Times New Roman" w:cs="Times New Roman"/>
                <w:b/>
                <w:sz w:val="24"/>
                <w:szCs w:val="24"/>
              </w:rPr>
            </w:pPr>
            <w:r>
              <w:rPr>
                <w:rFonts w:ascii="Times New Roman" w:hAnsi="Times New Roman" w:cs="Times New Roman"/>
                <w:b/>
                <w:sz w:val="24"/>
                <w:szCs w:val="24"/>
              </w:rPr>
              <w:t>-</w:t>
            </w:r>
          </w:p>
        </w:tc>
      </w:tr>
    </w:tbl>
    <w:p w14:paraId="41C20E58" w14:textId="77777777" w:rsidR="00FC0A22" w:rsidRDefault="00FC0A22" w:rsidP="00FC0A22">
      <w:pPr>
        <w:spacing w:line="360" w:lineRule="auto"/>
        <w:ind w:left="567"/>
        <w:jc w:val="both"/>
        <w:rPr>
          <w:rFonts w:ascii="Times New Roman" w:hAnsi="Times New Roman" w:cs="Times New Roman"/>
          <w:i/>
          <w:iCs/>
          <w:sz w:val="24"/>
          <w:szCs w:val="24"/>
        </w:rPr>
      </w:pPr>
      <w:r>
        <w:rPr>
          <w:rFonts w:ascii="Times New Roman" w:hAnsi="Times New Roman" w:cs="Times New Roman"/>
          <w:i/>
          <w:iCs/>
          <w:sz w:val="24"/>
          <w:szCs w:val="24"/>
        </w:rPr>
        <w:t xml:space="preserve"> Источник: данные Росстата.</w:t>
      </w:r>
    </w:p>
    <w:p w14:paraId="4CAD1A56" w14:textId="77777777" w:rsidR="00FC0A22" w:rsidRDefault="00FC0A22" w:rsidP="00FC0A2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Несмотря на многочисленные изменения налоговой и бюджетной системы, объем ресурсов государственного сектора был достаточно стабильным и составлял 45% от ВВП в 1990-х гг. и </w:t>
      </w:r>
      <w:proofErr w:type="gramStart"/>
      <w:r>
        <w:rPr>
          <w:rFonts w:ascii="Times New Roman" w:hAnsi="Times New Roman" w:cs="Times New Roman"/>
          <w:sz w:val="28"/>
          <w:szCs w:val="28"/>
        </w:rPr>
        <w:t>46-48</w:t>
      </w:r>
      <w:proofErr w:type="gramEnd"/>
      <w:r>
        <w:rPr>
          <w:rFonts w:ascii="Times New Roman" w:hAnsi="Times New Roman" w:cs="Times New Roman"/>
          <w:sz w:val="28"/>
          <w:szCs w:val="28"/>
        </w:rPr>
        <w:t>% в 2000-2010-х гг. При этом напрямую в пользу населения государственный сектор перераспределяет до 50% этих средств путем выплат заработной платы и пенсий, а также финансирования трансфертов населению в натуральной форме (табл. 4.2).</w:t>
      </w:r>
    </w:p>
    <w:p w14:paraId="27D84350" w14:textId="77777777" w:rsidR="00FC0A22" w:rsidRDefault="00FC0A22" w:rsidP="00FC0A2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Таблица 4.2. Потоки перераспределения национального дохода с участием государственного сектора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1377"/>
        <w:gridCol w:w="1335"/>
        <w:gridCol w:w="1365"/>
        <w:gridCol w:w="1443"/>
        <w:gridCol w:w="1443"/>
      </w:tblGrid>
      <w:tr w:rsidR="00FC0A22" w14:paraId="673BE65D"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2E9B2762" w14:textId="77777777" w:rsidR="00FC0A22" w:rsidRDefault="00FC0A22">
            <w:pPr>
              <w:spacing w:line="254" w:lineRule="auto"/>
              <w:ind w:left="34"/>
              <w:jc w:val="both"/>
              <w:rPr>
                <w:rFonts w:ascii="Times New Roman" w:hAnsi="Times New Roman" w:cs="Times New Roman"/>
                <w:sz w:val="24"/>
                <w:szCs w:val="24"/>
              </w:rPr>
            </w:pPr>
            <w:r>
              <w:rPr>
                <w:rFonts w:ascii="Times New Roman" w:hAnsi="Times New Roman" w:cs="Times New Roman"/>
                <w:sz w:val="24"/>
                <w:szCs w:val="24"/>
              </w:rPr>
              <w:t>Потоки (</w:t>
            </w:r>
            <w:proofErr w:type="spellStart"/>
            <w:r>
              <w:rPr>
                <w:rFonts w:ascii="Times New Roman" w:hAnsi="Times New Roman" w:cs="Times New Roman"/>
                <w:sz w:val="24"/>
                <w:szCs w:val="24"/>
              </w:rPr>
              <w:t>млрд.руб</w:t>
            </w:r>
            <w:proofErr w:type="spellEnd"/>
            <w:r>
              <w:rPr>
                <w:rFonts w:ascii="Times New Roman" w:hAnsi="Times New Roman" w:cs="Times New Roman"/>
                <w:sz w:val="24"/>
                <w:szCs w:val="24"/>
              </w:rPr>
              <w:t>., в скобках – динамика к предыдущему году в %)</w:t>
            </w:r>
          </w:p>
        </w:tc>
        <w:tc>
          <w:tcPr>
            <w:tcW w:w="1377" w:type="dxa"/>
            <w:tcBorders>
              <w:top w:val="single" w:sz="4" w:space="0" w:color="auto"/>
              <w:left w:val="single" w:sz="4" w:space="0" w:color="auto"/>
              <w:bottom w:val="single" w:sz="4" w:space="0" w:color="auto"/>
              <w:right w:val="single" w:sz="4" w:space="0" w:color="auto"/>
            </w:tcBorders>
            <w:hideMark/>
          </w:tcPr>
          <w:p w14:paraId="1142B3D8" w14:textId="77777777" w:rsidR="00FC0A22" w:rsidRDefault="00FC0A22">
            <w:pPr>
              <w:spacing w:line="254" w:lineRule="auto"/>
              <w:ind w:left="360"/>
              <w:jc w:val="center"/>
              <w:rPr>
                <w:rFonts w:ascii="Times New Roman" w:hAnsi="Times New Roman" w:cs="Times New Roman"/>
                <w:sz w:val="24"/>
                <w:szCs w:val="24"/>
              </w:rPr>
            </w:pPr>
            <w:r>
              <w:rPr>
                <w:rFonts w:ascii="Times New Roman" w:hAnsi="Times New Roman" w:cs="Times New Roman"/>
                <w:sz w:val="24"/>
                <w:szCs w:val="24"/>
              </w:rPr>
              <w:t>2010 (отчет)</w:t>
            </w:r>
          </w:p>
        </w:tc>
        <w:tc>
          <w:tcPr>
            <w:tcW w:w="1335" w:type="dxa"/>
            <w:tcBorders>
              <w:top w:val="single" w:sz="4" w:space="0" w:color="auto"/>
              <w:left w:val="single" w:sz="4" w:space="0" w:color="auto"/>
              <w:bottom w:val="single" w:sz="4" w:space="0" w:color="auto"/>
              <w:right w:val="single" w:sz="4" w:space="0" w:color="auto"/>
            </w:tcBorders>
            <w:hideMark/>
          </w:tcPr>
          <w:p w14:paraId="46FA25C2" w14:textId="77777777" w:rsidR="00FC0A22" w:rsidRDefault="00FC0A22">
            <w:pPr>
              <w:spacing w:line="254" w:lineRule="auto"/>
              <w:ind w:left="360"/>
              <w:jc w:val="center"/>
              <w:rPr>
                <w:rFonts w:ascii="Times New Roman" w:hAnsi="Times New Roman" w:cs="Times New Roman"/>
                <w:sz w:val="24"/>
                <w:szCs w:val="24"/>
              </w:rPr>
            </w:pPr>
            <w:r>
              <w:rPr>
                <w:rFonts w:ascii="Times New Roman" w:hAnsi="Times New Roman" w:cs="Times New Roman"/>
                <w:sz w:val="24"/>
                <w:szCs w:val="24"/>
              </w:rPr>
              <w:t>2015 (отчет)</w:t>
            </w:r>
          </w:p>
        </w:tc>
        <w:tc>
          <w:tcPr>
            <w:tcW w:w="1365" w:type="dxa"/>
            <w:tcBorders>
              <w:top w:val="single" w:sz="4" w:space="0" w:color="auto"/>
              <w:left w:val="single" w:sz="4" w:space="0" w:color="auto"/>
              <w:bottom w:val="single" w:sz="4" w:space="0" w:color="auto"/>
              <w:right w:val="single" w:sz="4" w:space="0" w:color="auto"/>
            </w:tcBorders>
            <w:hideMark/>
          </w:tcPr>
          <w:p w14:paraId="0587577A" w14:textId="77777777" w:rsidR="00FC0A22" w:rsidRDefault="00FC0A22">
            <w:pPr>
              <w:spacing w:line="254" w:lineRule="auto"/>
              <w:ind w:left="360"/>
              <w:jc w:val="center"/>
              <w:rPr>
                <w:rFonts w:ascii="Times New Roman" w:hAnsi="Times New Roman" w:cs="Times New Roman"/>
                <w:sz w:val="24"/>
                <w:szCs w:val="24"/>
              </w:rPr>
            </w:pPr>
            <w:r>
              <w:rPr>
                <w:rFonts w:ascii="Times New Roman" w:hAnsi="Times New Roman" w:cs="Times New Roman"/>
                <w:sz w:val="24"/>
                <w:szCs w:val="24"/>
              </w:rPr>
              <w:t>2017 (отчет)</w:t>
            </w:r>
          </w:p>
        </w:tc>
        <w:tc>
          <w:tcPr>
            <w:tcW w:w="1443" w:type="dxa"/>
            <w:tcBorders>
              <w:top w:val="single" w:sz="4" w:space="0" w:color="auto"/>
              <w:left w:val="single" w:sz="4" w:space="0" w:color="auto"/>
              <w:bottom w:val="single" w:sz="4" w:space="0" w:color="auto"/>
              <w:right w:val="single" w:sz="4" w:space="0" w:color="auto"/>
            </w:tcBorders>
            <w:hideMark/>
          </w:tcPr>
          <w:p w14:paraId="34338830" w14:textId="77777777" w:rsidR="00FC0A22" w:rsidRDefault="00FC0A22">
            <w:pPr>
              <w:spacing w:line="254" w:lineRule="auto"/>
              <w:ind w:left="360"/>
              <w:jc w:val="center"/>
              <w:rPr>
                <w:rFonts w:ascii="Times New Roman" w:hAnsi="Times New Roman" w:cs="Times New Roman"/>
                <w:sz w:val="24"/>
                <w:szCs w:val="24"/>
              </w:rPr>
            </w:pPr>
            <w:r>
              <w:rPr>
                <w:rFonts w:ascii="Times New Roman" w:hAnsi="Times New Roman" w:cs="Times New Roman"/>
                <w:sz w:val="24"/>
                <w:szCs w:val="24"/>
              </w:rPr>
              <w:t>2018 (отчет)</w:t>
            </w:r>
          </w:p>
        </w:tc>
        <w:tc>
          <w:tcPr>
            <w:tcW w:w="1443" w:type="dxa"/>
            <w:tcBorders>
              <w:top w:val="single" w:sz="4" w:space="0" w:color="auto"/>
              <w:left w:val="single" w:sz="4" w:space="0" w:color="auto"/>
              <w:bottom w:val="single" w:sz="4" w:space="0" w:color="auto"/>
              <w:right w:val="single" w:sz="4" w:space="0" w:color="auto"/>
            </w:tcBorders>
            <w:hideMark/>
          </w:tcPr>
          <w:p w14:paraId="37FC5B00" w14:textId="77777777" w:rsidR="00FC0A22" w:rsidRDefault="00FC0A22">
            <w:pPr>
              <w:spacing w:line="254" w:lineRule="auto"/>
              <w:ind w:left="360"/>
              <w:jc w:val="center"/>
              <w:rPr>
                <w:rFonts w:ascii="Times New Roman" w:hAnsi="Times New Roman" w:cs="Times New Roman"/>
                <w:sz w:val="24"/>
                <w:szCs w:val="24"/>
              </w:rPr>
            </w:pPr>
            <w:r>
              <w:rPr>
                <w:rFonts w:ascii="Times New Roman" w:hAnsi="Times New Roman" w:cs="Times New Roman"/>
                <w:sz w:val="24"/>
                <w:szCs w:val="24"/>
              </w:rPr>
              <w:t>2019 (оценка)</w:t>
            </w:r>
          </w:p>
        </w:tc>
      </w:tr>
      <w:tr w:rsidR="00FC0A22" w14:paraId="5BE027CA"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0001760D"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Чистые налоги (бизнес → государство)</w:t>
            </w:r>
          </w:p>
        </w:tc>
        <w:tc>
          <w:tcPr>
            <w:tcW w:w="1377" w:type="dxa"/>
            <w:tcBorders>
              <w:top w:val="single" w:sz="4" w:space="0" w:color="auto"/>
              <w:left w:val="single" w:sz="4" w:space="0" w:color="auto"/>
              <w:bottom w:val="single" w:sz="4" w:space="0" w:color="auto"/>
              <w:right w:val="single" w:sz="4" w:space="0" w:color="auto"/>
            </w:tcBorders>
            <w:hideMark/>
          </w:tcPr>
          <w:p w14:paraId="531A724A"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8117</w:t>
            </w:r>
          </w:p>
          <w:p w14:paraId="389F691C"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(+33%)</w:t>
            </w:r>
          </w:p>
        </w:tc>
        <w:tc>
          <w:tcPr>
            <w:tcW w:w="1335" w:type="dxa"/>
            <w:tcBorders>
              <w:top w:val="single" w:sz="4" w:space="0" w:color="auto"/>
              <w:left w:val="single" w:sz="4" w:space="0" w:color="auto"/>
              <w:bottom w:val="single" w:sz="4" w:space="0" w:color="auto"/>
              <w:right w:val="single" w:sz="4" w:space="0" w:color="auto"/>
            </w:tcBorders>
            <w:hideMark/>
          </w:tcPr>
          <w:p w14:paraId="569031E9"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8372</w:t>
            </w:r>
          </w:p>
          <w:p w14:paraId="74D79035"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(-7%)</w:t>
            </w:r>
          </w:p>
        </w:tc>
        <w:tc>
          <w:tcPr>
            <w:tcW w:w="1365" w:type="dxa"/>
            <w:tcBorders>
              <w:top w:val="single" w:sz="4" w:space="0" w:color="auto"/>
              <w:left w:val="single" w:sz="4" w:space="0" w:color="auto"/>
              <w:bottom w:val="single" w:sz="4" w:space="0" w:color="auto"/>
              <w:right w:val="single" w:sz="4" w:space="0" w:color="auto"/>
            </w:tcBorders>
            <w:hideMark/>
          </w:tcPr>
          <w:p w14:paraId="0CC435EC"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9570</w:t>
            </w:r>
          </w:p>
          <w:p w14:paraId="5E554B2A"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(+10%)</w:t>
            </w:r>
          </w:p>
        </w:tc>
        <w:tc>
          <w:tcPr>
            <w:tcW w:w="1443" w:type="dxa"/>
            <w:tcBorders>
              <w:top w:val="single" w:sz="4" w:space="0" w:color="auto"/>
              <w:left w:val="single" w:sz="4" w:space="0" w:color="auto"/>
              <w:bottom w:val="single" w:sz="4" w:space="0" w:color="auto"/>
              <w:right w:val="single" w:sz="4" w:space="0" w:color="auto"/>
            </w:tcBorders>
            <w:hideMark/>
          </w:tcPr>
          <w:p w14:paraId="09317F73"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11735</w:t>
            </w:r>
          </w:p>
          <w:p w14:paraId="4AF3158D"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(+23%)</w:t>
            </w:r>
          </w:p>
        </w:tc>
        <w:tc>
          <w:tcPr>
            <w:tcW w:w="1443" w:type="dxa"/>
            <w:tcBorders>
              <w:top w:val="single" w:sz="4" w:space="0" w:color="auto"/>
              <w:left w:val="single" w:sz="4" w:space="0" w:color="auto"/>
              <w:bottom w:val="single" w:sz="4" w:space="0" w:color="auto"/>
              <w:right w:val="single" w:sz="4" w:space="0" w:color="auto"/>
            </w:tcBorders>
            <w:hideMark/>
          </w:tcPr>
          <w:p w14:paraId="6A8E9398"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12717</w:t>
            </w:r>
          </w:p>
          <w:p w14:paraId="7AC1121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(+8%)</w:t>
            </w:r>
          </w:p>
        </w:tc>
      </w:tr>
      <w:tr w:rsidR="00FC0A22" w14:paraId="30896911"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41636100"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 xml:space="preserve">     в том числе: субсидии (государство → бизнес)</w:t>
            </w:r>
          </w:p>
        </w:tc>
        <w:tc>
          <w:tcPr>
            <w:tcW w:w="1377" w:type="dxa"/>
            <w:tcBorders>
              <w:top w:val="single" w:sz="4" w:space="0" w:color="auto"/>
              <w:left w:val="single" w:sz="4" w:space="0" w:color="auto"/>
              <w:bottom w:val="single" w:sz="4" w:space="0" w:color="auto"/>
              <w:right w:val="single" w:sz="4" w:space="0" w:color="auto"/>
            </w:tcBorders>
            <w:hideMark/>
          </w:tcPr>
          <w:p w14:paraId="1C8D1711"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470</w:t>
            </w:r>
          </w:p>
          <w:p w14:paraId="6BBAA763"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(-16%)</w:t>
            </w:r>
          </w:p>
        </w:tc>
        <w:tc>
          <w:tcPr>
            <w:tcW w:w="1335" w:type="dxa"/>
            <w:tcBorders>
              <w:top w:val="single" w:sz="4" w:space="0" w:color="auto"/>
              <w:left w:val="single" w:sz="4" w:space="0" w:color="auto"/>
              <w:bottom w:val="single" w:sz="4" w:space="0" w:color="auto"/>
              <w:right w:val="single" w:sz="4" w:space="0" w:color="auto"/>
            </w:tcBorders>
            <w:hideMark/>
          </w:tcPr>
          <w:p w14:paraId="72B4745A"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788</w:t>
            </w:r>
          </w:p>
          <w:p w14:paraId="0FE09669"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(+5%)</w:t>
            </w:r>
          </w:p>
        </w:tc>
        <w:tc>
          <w:tcPr>
            <w:tcW w:w="1365" w:type="dxa"/>
            <w:tcBorders>
              <w:top w:val="single" w:sz="4" w:space="0" w:color="auto"/>
              <w:left w:val="single" w:sz="4" w:space="0" w:color="auto"/>
              <w:bottom w:val="single" w:sz="4" w:space="0" w:color="auto"/>
              <w:right w:val="single" w:sz="4" w:space="0" w:color="auto"/>
            </w:tcBorders>
            <w:hideMark/>
          </w:tcPr>
          <w:p w14:paraId="35F6FB68"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841</w:t>
            </w:r>
          </w:p>
          <w:p w14:paraId="5F17A6A3"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hideMark/>
          </w:tcPr>
          <w:p w14:paraId="29609D99"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916</w:t>
            </w:r>
          </w:p>
          <w:p w14:paraId="7A8ABD03"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(+9%)</w:t>
            </w:r>
          </w:p>
        </w:tc>
        <w:tc>
          <w:tcPr>
            <w:tcW w:w="1443" w:type="dxa"/>
            <w:tcBorders>
              <w:top w:val="single" w:sz="4" w:space="0" w:color="auto"/>
              <w:left w:val="single" w:sz="4" w:space="0" w:color="auto"/>
              <w:bottom w:val="single" w:sz="4" w:space="0" w:color="auto"/>
              <w:right w:val="single" w:sz="4" w:space="0" w:color="auto"/>
            </w:tcBorders>
            <w:hideMark/>
          </w:tcPr>
          <w:p w14:paraId="37821267"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980</w:t>
            </w:r>
          </w:p>
          <w:p w14:paraId="1408CC11"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(+7%)</w:t>
            </w:r>
          </w:p>
        </w:tc>
      </w:tr>
      <w:tr w:rsidR="00FC0A22" w14:paraId="0135293E"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22907031"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Страховые взносы и прочие выплаты (бизнес → государство)</w:t>
            </w:r>
          </w:p>
        </w:tc>
        <w:tc>
          <w:tcPr>
            <w:tcW w:w="1377" w:type="dxa"/>
            <w:tcBorders>
              <w:top w:val="single" w:sz="4" w:space="0" w:color="auto"/>
              <w:left w:val="single" w:sz="4" w:space="0" w:color="auto"/>
              <w:bottom w:val="single" w:sz="4" w:space="0" w:color="auto"/>
              <w:right w:val="single" w:sz="4" w:space="0" w:color="auto"/>
            </w:tcBorders>
            <w:hideMark/>
          </w:tcPr>
          <w:p w14:paraId="1A2CD86D"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2779</w:t>
            </w:r>
          </w:p>
          <w:p w14:paraId="4577922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(+7%)</w:t>
            </w:r>
          </w:p>
        </w:tc>
        <w:tc>
          <w:tcPr>
            <w:tcW w:w="1335" w:type="dxa"/>
            <w:tcBorders>
              <w:top w:val="single" w:sz="4" w:space="0" w:color="auto"/>
              <w:left w:val="single" w:sz="4" w:space="0" w:color="auto"/>
              <w:bottom w:val="single" w:sz="4" w:space="0" w:color="auto"/>
              <w:right w:val="single" w:sz="4" w:space="0" w:color="auto"/>
            </w:tcBorders>
            <w:hideMark/>
          </w:tcPr>
          <w:p w14:paraId="172EEA17"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5993</w:t>
            </w:r>
          </w:p>
          <w:p w14:paraId="7DD73ADC"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(+9%)</w:t>
            </w:r>
          </w:p>
        </w:tc>
        <w:tc>
          <w:tcPr>
            <w:tcW w:w="1365" w:type="dxa"/>
            <w:tcBorders>
              <w:top w:val="single" w:sz="4" w:space="0" w:color="auto"/>
              <w:left w:val="single" w:sz="4" w:space="0" w:color="auto"/>
              <w:bottom w:val="single" w:sz="4" w:space="0" w:color="auto"/>
              <w:right w:val="single" w:sz="4" w:space="0" w:color="auto"/>
            </w:tcBorders>
            <w:hideMark/>
          </w:tcPr>
          <w:p w14:paraId="44FA0734"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6940</w:t>
            </w:r>
          </w:p>
          <w:p w14:paraId="46F32457"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(+8%)</w:t>
            </w:r>
          </w:p>
        </w:tc>
        <w:tc>
          <w:tcPr>
            <w:tcW w:w="1443" w:type="dxa"/>
            <w:tcBorders>
              <w:top w:val="single" w:sz="4" w:space="0" w:color="auto"/>
              <w:left w:val="single" w:sz="4" w:space="0" w:color="auto"/>
              <w:bottom w:val="single" w:sz="4" w:space="0" w:color="auto"/>
              <w:right w:val="single" w:sz="4" w:space="0" w:color="auto"/>
            </w:tcBorders>
            <w:hideMark/>
          </w:tcPr>
          <w:p w14:paraId="78C5FE43"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7617</w:t>
            </w:r>
          </w:p>
          <w:p w14:paraId="5EB83651"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(+10%)</w:t>
            </w:r>
          </w:p>
        </w:tc>
        <w:tc>
          <w:tcPr>
            <w:tcW w:w="1443" w:type="dxa"/>
            <w:tcBorders>
              <w:top w:val="single" w:sz="4" w:space="0" w:color="auto"/>
              <w:left w:val="single" w:sz="4" w:space="0" w:color="auto"/>
              <w:bottom w:val="single" w:sz="4" w:space="0" w:color="auto"/>
              <w:right w:val="single" w:sz="4" w:space="0" w:color="auto"/>
            </w:tcBorders>
            <w:hideMark/>
          </w:tcPr>
          <w:p w14:paraId="5C08A381"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8565</w:t>
            </w:r>
          </w:p>
          <w:p w14:paraId="52758326"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(+12%)</w:t>
            </w:r>
          </w:p>
        </w:tc>
      </w:tr>
      <w:tr w:rsidR="00FC0A22" w14:paraId="46863BEB"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6F7BDA3B"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Налоги (население → государство)</w:t>
            </w:r>
          </w:p>
        </w:tc>
        <w:tc>
          <w:tcPr>
            <w:tcW w:w="1377" w:type="dxa"/>
            <w:tcBorders>
              <w:top w:val="single" w:sz="4" w:space="0" w:color="auto"/>
              <w:left w:val="single" w:sz="4" w:space="0" w:color="auto"/>
              <w:bottom w:val="single" w:sz="4" w:space="0" w:color="auto"/>
              <w:right w:val="single" w:sz="4" w:space="0" w:color="auto"/>
            </w:tcBorders>
            <w:hideMark/>
          </w:tcPr>
          <w:p w14:paraId="7D6FF7CD"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2506</w:t>
            </w:r>
          </w:p>
          <w:p w14:paraId="4B826E4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(+10%)</w:t>
            </w:r>
          </w:p>
        </w:tc>
        <w:tc>
          <w:tcPr>
            <w:tcW w:w="1335" w:type="dxa"/>
            <w:tcBorders>
              <w:top w:val="single" w:sz="4" w:space="0" w:color="auto"/>
              <w:left w:val="single" w:sz="4" w:space="0" w:color="auto"/>
              <w:bottom w:val="single" w:sz="4" w:space="0" w:color="auto"/>
              <w:right w:val="single" w:sz="4" w:space="0" w:color="auto"/>
            </w:tcBorders>
            <w:hideMark/>
          </w:tcPr>
          <w:p w14:paraId="65CD8EE7"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4448</w:t>
            </w:r>
          </w:p>
          <w:p w14:paraId="19F03074"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(0%)</w:t>
            </w:r>
          </w:p>
        </w:tc>
        <w:tc>
          <w:tcPr>
            <w:tcW w:w="1365" w:type="dxa"/>
            <w:tcBorders>
              <w:top w:val="single" w:sz="4" w:space="0" w:color="auto"/>
              <w:left w:val="single" w:sz="4" w:space="0" w:color="auto"/>
              <w:bottom w:val="single" w:sz="4" w:space="0" w:color="auto"/>
              <w:right w:val="single" w:sz="4" w:space="0" w:color="auto"/>
            </w:tcBorders>
            <w:hideMark/>
          </w:tcPr>
          <w:p w14:paraId="2E7F8146"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5067</w:t>
            </w:r>
          </w:p>
          <w:p w14:paraId="6C8F1792"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(+7%)</w:t>
            </w:r>
          </w:p>
        </w:tc>
        <w:tc>
          <w:tcPr>
            <w:tcW w:w="1443" w:type="dxa"/>
            <w:tcBorders>
              <w:top w:val="single" w:sz="4" w:space="0" w:color="auto"/>
              <w:left w:val="single" w:sz="4" w:space="0" w:color="auto"/>
              <w:bottom w:val="single" w:sz="4" w:space="0" w:color="auto"/>
              <w:right w:val="single" w:sz="4" w:space="0" w:color="auto"/>
            </w:tcBorders>
            <w:hideMark/>
          </w:tcPr>
          <w:p w14:paraId="48881E45"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5691</w:t>
            </w:r>
          </w:p>
          <w:p w14:paraId="28FE1C01"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(+12%)</w:t>
            </w:r>
          </w:p>
        </w:tc>
        <w:tc>
          <w:tcPr>
            <w:tcW w:w="1443" w:type="dxa"/>
            <w:tcBorders>
              <w:top w:val="single" w:sz="4" w:space="0" w:color="auto"/>
              <w:left w:val="single" w:sz="4" w:space="0" w:color="auto"/>
              <w:bottom w:val="single" w:sz="4" w:space="0" w:color="auto"/>
              <w:right w:val="single" w:sz="4" w:space="0" w:color="auto"/>
            </w:tcBorders>
            <w:hideMark/>
          </w:tcPr>
          <w:p w14:paraId="37850B29"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6519</w:t>
            </w:r>
          </w:p>
          <w:p w14:paraId="0609F199"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(+15%)</w:t>
            </w:r>
          </w:p>
        </w:tc>
      </w:tr>
      <w:tr w:rsidR="00FC0A22" w14:paraId="5D22EE80"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26B58F33"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Заработная плата (государство →</w:t>
            </w:r>
            <w:r>
              <w:rPr>
                <w:rFonts w:ascii="Times New Roman" w:hAnsi="Times New Roman" w:cs="Times New Roman"/>
                <w:sz w:val="24"/>
                <w:szCs w:val="24"/>
                <w:lang w:val="en-US"/>
              </w:rPr>
              <w:t xml:space="preserve"> </w:t>
            </w:r>
            <w:r>
              <w:rPr>
                <w:rFonts w:ascii="Times New Roman" w:hAnsi="Times New Roman" w:cs="Times New Roman"/>
                <w:sz w:val="24"/>
                <w:szCs w:val="24"/>
              </w:rPr>
              <w:t>население)</w:t>
            </w:r>
          </w:p>
        </w:tc>
        <w:tc>
          <w:tcPr>
            <w:tcW w:w="1377" w:type="dxa"/>
            <w:tcBorders>
              <w:top w:val="single" w:sz="4" w:space="0" w:color="auto"/>
              <w:left w:val="single" w:sz="4" w:space="0" w:color="auto"/>
              <w:bottom w:val="single" w:sz="4" w:space="0" w:color="auto"/>
              <w:right w:val="single" w:sz="4" w:space="0" w:color="auto"/>
            </w:tcBorders>
            <w:hideMark/>
          </w:tcPr>
          <w:p w14:paraId="1E434F6D"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4985</w:t>
            </w:r>
          </w:p>
          <w:p w14:paraId="174ACF6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(+14%)</w:t>
            </w:r>
          </w:p>
        </w:tc>
        <w:tc>
          <w:tcPr>
            <w:tcW w:w="1335" w:type="dxa"/>
            <w:tcBorders>
              <w:top w:val="single" w:sz="4" w:space="0" w:color="auto"/>
              <w:left w:val="single" w:sz="4" w:space="0" w:color="auto"/>
              <w:bottom w:val="single" w:sz="4" w:space="0" w:color="auto"/>
              <w:right w:val="single" w:sz="4" w:space="0" w:color="auto"/>
            </w:tcBorders>
            <w:hideMark/>
          </w:tcPr>
          <w:p w14:paraId="2C039536"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8615</w:t>
            </w:r>
          </w:p>
          <w:p w14:paraId="207FF696"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(+2%)</w:t>
            </w:r>
          </w:p>
        </w:tc>
        <w:tc>
          <w:tcPr>
            <w:tcW w:w="1365" w:type="dxa"/>
            <w:tcBorders>
              <w:top w:val="single" w:sz="4" w:space="0" w:color="auto"/>
              <w:left w:val="single" w:sz="4" w:space="0" w:color="auto"/>
              <w:bottom w:val="single" w:sz="4" w:space="0" w:color="auto"/>
              <w:right w:val="single" w:sz="4" w:space="0" w:color="auto"/>
            </w:tcBorders>
            <w:hideMark/>
          </w:tcPr>
          <w:p w14:paraId="68239448"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9211</w:t>
            </w:r>
          </w:p>
          <w:p w14:paraId="37FC8C69"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14:paraId="6EA37474"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10364</w:t>
            </w:r>
          </w:p>
          <w:p w14:paraId="0FB77DF4"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(+13%)</w:t>
            </w:r>
          </w:p>
        </w:tc>
        <w:tc>
          <w:tcPr>
            <w:tcW w:w="1443" w:type="dxa"/>
            <w:tcBorders>
              <w:top w:val="single" w:sz="4" w:space="0" w:color="auto"/>
              <w:left w:val="single" w:sz="4" w:space="0" w:color="auto"/>
              <w:bottom w:val="single" w:sz="4" w:space="0" w:color="auto"/>
              <w:right w:val="single" w:sz="4" w:space="0" w:color="auto"/>
            </w:tcBorders>
            <w:hideMark/>
          </w:tcPr>
          <w:p w14:paraId="0D67BE34"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11172</w:t>
            </w:r>
          </w:p>
          <w:p w14:paraId="5FF88C15"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(+8%)</w:t>
            </w:r>
          </w:p>
        </w:tc>
      </w:tr>
      <w:tr w:rsidR="00FC0A22" w14:paraId="6EF8F78D"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20247B6B"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Социальные выплаты (государство → население)</w:t>
            </w:r>
          </w:p>
        </w:tc>
        <w:tc>
          <w:tcPr>
            <w:tcW w:w="1377" w:type="dxa"/>
            <w:tcBorders>
              <w:top w:val="single" w:sz="4" w:space="0" w:color="auto"/>
              <w:left w:val="single" w:sz="4" w:space="0" w:color="auto"/>
              <w:bottom w:val="single" w:sz="4" w:space="0" w:color="auto"/>
              <w:right w:val="single" w:sz="4" w:space="0" w:color="auto"/>
            </w:tcBorders>
            <w:hideMark/>
          </w:tcPr>
          <w:p w14:paraId="329F8652"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5030</w:t>
            </w:r>
          </w:p>
          <w:p w14:paraId="2CF0D873"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(+37%)</w:t>
            </w:r>
          </w:p>
        </w:tc>
        <w:tc>
          <w:tcPr>
            <w:tcW w:w="1335" w:type="dxa"/>
            <w:tcBorders>
              <w:top w:val="single" w:sz="4" w:space="0" w:color="auto"/>
              <w:left w:val="single" w:sz="4" w:space="0" w:color="auto"/>
              <w:bottom w:val="single" w:sz="4" w:space="0" w:color="auto"/>
              <w:right w:val="single" w:sz="4" w:space="0" w:color="auto"/>
            </w:tcBorders>
            <w:hideMark/>
          </w:tcPr>
          <w:p w14:paraId="2EAC7365"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7624</w:t>
            </w:r>
          </w:p>
          <w:p w14:paraId="28D3A556"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w:t>
            </w:r>
          </w:p>
        </w:tc>
        <w:tc>
          <w:tcPr>
            <w:tcW w:w="1365" w:type="dxa"/>
            <w:tcBorders>
              <w:top w:val="single" w:sz="4" w:space="0" w:color="auto"/>
              <w:left w:val="single" w:sz="4" w:space="0" w:color="auto"/>
              <w:bottom w:val="single" w:sz="4" w:space="0" w:color="auto"/>
              <w:right w:val="single" w:sz="4" w:space="0" w:color="auto"/>
            </w:tcBorders>
            <w:hideMark/>
          </w:tcPr>
          <w:p w14:paraId="5A7A9E32"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9451</w:t>
            </w:r>
          </w:p>
          <w:p w14:paraId="2D13C8B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(+7%)</w:t>
            </w:r>
          </w:p>
        </w:tc>
        <w:tc>
          <w:tcPr>
            <w:tcW w:w="1443" w:type="dxa"/>
            <w:tcBorders>
              <w:top w:val="single" w:sz="4" w:space="0" w:color="auto"/>
              <w:left w:val="single" w:sz="4" w:space="0" w:color="auto"/>
              <w:bottom w:val="single" w:sz="4" w:space="0" w:color="auto"/>
              <w:right w:val="single" w:sz="4" w:space="0" w:color="auto"/>
            </w:tcBorders>
            <w:hideMark/>
          </w:tcPr>
          <w:p w14:paraId="6B080B8A"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9885</w:t>
            </w:r>
          </w:p>
          <w:p w14:paraId="2EAF9F06"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(+5%)</w:t>
            </w:r>
          </w:p>
        </w:tc>
        <w:tc>
          <w:tcPr>
            <w:tcW w:w="1443" w:type="dxa"/>
            <w:tcBorders>
              <w:top w:val="single" w:sz="4" w:space="0" w:color="auto"/>
              <w:left w:val="single" w:sz="4" w:space="0" w:color="auto"/>
              <w:bottom w:val="single" w:sz="4" w:space="0" w:color="auto"/>
              <w:right w:val="single" w:sz="4" w:space="0" w:color="auto"/>
            </w:tcBorders>
            <w:hideMark/>
          </w:tcPr>
          <w:p w14:paraId="2274869E"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10924</w:t>
            </w:r>
          </w:p>
          <w:p w14:paraId="6B5D2247"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(+11%)</w:t>
            </w:r>
          </w:p>
        </w:tc>
      </w:tr>
      <w:tr w:rsidR="00FC0A22" w14:paraId="724A7DF4"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603DBC81"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sz w:val="24"/>
                <w:szCs w:val="24"/>
              </w:rPr>
              <w:t>Трансферты в натуральной форме (государство → население)</w:t>
            </w:r>
          </w:p>
        </w:tc>
        <w:tc>
          <w:tcPr>
            <w:tcW w:w="1377" w:type="dxa"/>
            <w:tcBorders>
              <w:top w:val="single" w:sz="4" w:space="0" w:color="auto"/>
              <w:left w:val="single" w:sz="4" w:space="0" w:color="auto"/>
              <w:bottom w:val="single" w:sz="4" w:space="0" w:color="auto"/>
              <w:right w:val="single" w:sz="4" w:space="0" w:color="auto"/>
            </w:tcBorders>
            <w:hideMark/>
          </w:tcPr>
          <w:p w14:paraId="3B758A70"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4344</w:t>
            </w:r>
          </w:p>
          <w:p w14:paraId="274CC1E8"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(+6%)</w:t>
            </w:r>
          </w:p>
        </w:tc>
        <w:tc>
          <w:tcPr>
            <w:tcW w:w="1335" w:type="dxa"/>
            <w:tcBorders>
              <w:top w:val="single" w:sz="4" w:space="0" w:color="auto"/>
              <w:left w:val="single" w:sz="4" w:space="0" w:color="auto"/>
              <w:bottom w:val="single" w:sz="4" w:space="0" w:color="auto"/>
              <w:right w:val="single" w:sz="4" w:space="0" w:color="auto"/>
            </w:tcBorders>
            <w:hideMark/>
          </w:tcPr>
          <w:p w14:paraId="46B7A53E"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6722</w:t>
            </w:r>
          </w:p>
          <w:p w14:paraId="0E4B0BB3"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(+4%)</w:t>
            </w:r>
          </w:p>
        </w:tc>
        <w:tc>
          <w:tcPr>
            <w:tcW w:w="1365" w:type="dxa"/>
            <w:tcBorders>
              <w:top w:val="single" w:sz="4" w:space="0" w:color="auto"/>
              <w:left w:val="single" w:sz="4" w:space="0" w:color="auto"/>
              <w:bottom w:val="single" w:sz="4" w:space="0" w:color="auto"/>
              <w:right w:val="single" w:sz="4" w:space="0" w:color="auto"/>
            </w:tcBorders>
            <w:hideMark/>
          </w:tcPr>
          <w:p w14:paraId="700C9323"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7183</w:t>
            </w:r>
          </w:p>
          <w:p w14:paraId="2D75A000"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(+4%)</w:t>
            </w:r>
          </w:p>
        </w:tc>
        <w:tc>
          <w:tcPr>
            <w:tcW w:w="1443" w:type="dxa"/>
            <w:tcBorders>
              <w:top w:val="single" w:sz="4" w:space="0" w:color="auto"/>
              <w:left w:val="single" w:sz="4" w:space="0" w:color="auto"/>
              <w:bottom w:val="single" w:sz="4" w:space="0" w:color="auto"/>
              <w:right w:val="single" w:sz="4" w:space="0" w:color="auto"/>
            </w:tcBorders>
            <w:hideMark/>
          </w:tcPr>
          <w:p w14:paraId="1487E443"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8183</w:t>
            </w:r>
          </w:p>
          <w:p w14:paraId="3C4CA406"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(+14%)</w:t>
            </w:r>
          </w:p>
        </w:tc>
        <w:tc>
          <w:tcPr>
            <w:tcW w:w="1443" w:type="dxa"/>
            <w:tcBorders>
              <w:top w:val="single" w:sz="4" w:space="0" w:color="auto"/>
              <w:left w:val="single" w:sz="4" w:space="0" w:color="auto"/>
              <w:bottom w:val="single" w:sz="4" w:space="0" w:color="auto"/>
              <w:right w:val="single" w:sz="4" w:space="0" w:color="auto"/>
            </w:tcBorders>
            <w:hideMark/>
          </w:tcPr>
          <w:p w14:paraId="633D512B" w14:textId="77777777" w:rsidR="00FC0A22" w:rsidRDefault="00FC0A22">
            <w:pPr>
              <w:ind w:left="360"/>
              <w:jc w:val="right"/>
              <w:rPr>
                <w:rFonts w:ascii="Times New Roman" w:hAnsi="Times New Roman" w:cs="Times New Roman"/>
                <w:sz w:val="24"/>
                <w:szCs w:val="24"/>
              </w:rPr>
            </w:pPr>
            <w:r>
              <w:rPr>
                <w:rFonts w:ascii="Times New Roman" w:hAnsi="Times New Roman" w:cs="Times New Roman"/>
                <w:sz w:val="24"/>
                <w:szCs w:val="24"/>
              </w:rPr>
              <w:t>9295</w:t>
            </w:r>
          </w:p>
          <w:p w14:paraId="425FDA67" w14:textId="77777777" w:rsidR="00FC0A22" w:rsidRDefault="00FC0A22">
            <w:pPr>
              <w:spacing w:line="254" w:lineRule="auto"/>
              <w:ind w:left="360"/>
              <w:jc w:val="right"/>
              <w:rPr>
                <w:rFonts w:ascii="Times New Roman" w:hAnsi="Times New Roman" w:cs="Times New Roman"/>
                <w:sz w:val="24"/>
                <w:szCs w:val="24"/>
              </w:rPr>
            </w:pPr>
            <w:r>
              <w:rPr>
                <w:rFonts w:ascii="Times New Roman" w:hAnsi="Times New Roman" w:cs="Times New Roman"/>
                <w:sz w:val="24"/>
                <w:szCs w:val="24"/>
              </w:rPr>
              <w:t>(+14%)</w:t>
            </w:r>
          </w:p>
        </w:tc>
      </w:tr>
      <w:tr w:rsidR="00FC0A22" w14:paraId="20505321"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2ECEDFFE"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b/>
                <w:bCs/>
                <w:sz w:val="24"/>
                <w:szCs w:val="24"/>
              </w:rPr>
              <w:t>Баланс взаимодействий государственного сектора и бизнеса</w:t>
            </w:r>
          </w:p>
        </w:tc>
        <w:tc>
          <w:tcPr>
            <w:tcW w:w="1377" w:type="dxa"/>
            <w:tcBorders>
              <w:top w:val="single" w:sz="4" w:space="0" w:color="auto"/>
              <w:left w:val="single" w:sz="4" w:space="0" w:color="auto"/>
              <w:bottom w:val="single" w:sz="4" w:space="0" w:color="auto"/>
              <w:right w:val="single" w:sz="4" w:space="0" w:color="auto"/>
            </w:tcBorders>
            <w:hideMark/>
          </w:tcPr>
          <w:p w14:paraId="5173F1E8"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10896</w:t>
            </w:r>
          </w:p>
          <w:p w14:paraId="68143AEE"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(+25%)</w:t>
            </w:r>
          </w:p>
        </w:tc>
        <w:tc>
          <w:tcPr>
            <w:tcW w:w="1335" w:type="dxa"/>
            <w:tcBorders>
              <w:top w:val="single" w:sz="4" w:space="0" w:color="auto"/>
              <w:left w:val="single" w:sz="4" w:space="0" w:color="auto"/>
              <w:bottom w:val="single" w:sz="4" w:space="0" w:color="auto"/>
              <w:right w:val="single" w:sz="4" w:space="0" w:color="auto"/>
            </w:tcBorders>
            <w:hideMark/>
          </w:tcPr>
          <w:p w14:paraId="6B259AA5"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14365</w:t>
            </w:r>
          </w:p>
          <w:p w14:paraId="1CAA9225"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(-1%)</w:t>
            </w:r>
          </w:p>
        </w:tc>
        <w:tc>
          <w:tcPr>
            <w:tcW w:w="1365" w:type="dxa"/>
            <w:tcBorders>
              <w:top w:val="single" w:sz="4" w:space="0" w:color="auto"/>
              <w:left w:val="single" w:sz="4" w:space="0" w:color="auto"/>
              <w:bottom w:val="single" w:sz="4" w:space="0" w:color="auto"/>
              <w:right w:val="single" w:sz="4" w:space="0" w:color="auto"/>
            </w:tcBorders>
            <w:hideMark/>
          </w:tcPr>
          <w:p w14:paraId="56B565FD"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16510</w:t>
            </w:r>
          </w:p>
          <w:p w14:paraId="08167EDE"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(+9%)</w:t>
            </w:r>
          </w:p>
        </w:tc>
        <w:tc>
          <w:tcPr>
            <w:tcW w:w="1443" w:type="dxa"/>
            <w:tcBorders>
              <w:top w:val="single" w:sz="4" w:space="0" w:color="auto"/>
              <w:left w:val="single" w:sz="4" w:space="0" w:color="auto"/>
              <w:bottom w:val="single" w:sz="4" w:space="0" w:color="auto"/>
              <w:right w:val="single" w:sz="4" w:space="0" w:color="auto"/>
            </w:tcBorders>
            <w:hideMark/>
          </w:tcPr>
          <w:p w14:paraId="620DC9F6"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19352</w:t>
            </w:r>
          </w:p>
          <w:p w14:paraId="4609CEDD"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(+17%)</w:t>
            </w:r>
          </w:p>
        </w:tc>
        <w:tc>
          <w:tcPr>
            <w:tcW w:w="1443" w:type="dxa"/>
            <w:tcBorders>
              <w:top w:val="single" w:sz="4" w:space="0" w:color="auto"/>
              <w:left w:val="single" w:sz="4" w:space="0" w:color="auto"/>
              <w:bottom w:val="single" w:sz="4" w:space="0" w:color="auto"/>
              <w:right w:val="single" w:sz="4" w:space="0" w:color="auto"/>
            </w:tcBorders>
            <w:hideMark/>
          </w:tcPr>
          <w:p w14:paraId="0151CEBA"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21281</w:t>
            </w:r>
          </w:p>
          <w:p w14:paraId="3A747243"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(+10%)</w:t>
            </w:r>
          </w:p>
        </w:tc>
      </w:tr>
      <w:tr w:rsidR="00FC0A22" w14:paraId="7B94579A" w14:textId="77777777" w:rsidTr="00FC0A22">
        <w:tc>
          <w:tcPr>
            <w:tcW w:w="2530" w:type="dxa"/>
            <w:tcBorders>
              <w:top w:val="single" w:sz="4" w:space="0" w:color="auto"/>
              <w:left w:val="single" w:sz="4" w:space="0" w:color="auto"/>
              <w:bottom w:val="single" w:sz="4" w:space="0" w:color="auto"/>
              <w:right w:val="single" w:sz="4" w:space="0" w:color="auto"/>
            </w:tcBorders>
            <w:hideMark/>
          </w:tcPr>
          <w:p w14:paraId="4491CF50" w14:textId="77777777" w:rsidR="00FC0A22" w:rsidRDefault="00FC0A22">
            <w:pPr>
              <w:spacing w:line="254" w:lineRule="auto"/>
              <w:ind w:left="34"/>
              <w:rPr>
                <w:rFonts w:ascii="Times New Roman" w:hAnsi="Times New Roman" w:cs="Times New Roman"/>
                <w:sz w:val="24"/>
                <w:szCs w:val="24"/>
              </w:rPr>
            </w:pPr>
            <w:r>
              <w:rPr>
                <w:rFonts w:ascii="Times New Roman" w:hAnsi="Times New Roman" w:cs="Times New Roman"/>
                <w:b/>
                <w:bCs/>
                <w:sz w:val="24"/>
                <w:szCs w:val="24"/>
              </w:rPr>
              <w:t>Баланс взаимодействий государственного сектора и населения</w:t>
            </w:r>
          </w:p>
        </w:tc>
        <w:tc>
          <w:tcPr>
            <w:tcW w:w="1377" w:type="dxa"/>
            <w:tcBorders>
              <w:top w:val="single" w:sz="4" w:space="0" w:color="auto"/>
              <w:left w:val="single" w:sz="4" w:space="0" w:color="auto"/>
              <w:bottom w:val="single" w:sz="4" w:space="0" w:color="auto"/>
              <w:right w:val="single" w:sz="4" w:space="0" w:color="auto"/>
            </w:tcBorders>
            <w:hideMark/>
          </w:tcPr>
          <w:p w14:paraId="28CAFDFD"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-11853</w:t>
            </w:r>
          </w:p>
          <w:p w14:paraId="0E7EA928"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(+20%)</w:t>
            </w:r>
          </w:p>
        </w:tc>
        <w:tc>
          <w:tcPr>
            <w:tcW w:w="1335" w:type="dxa"/>
            <w:tcBorders>
              <w:top w:val="single" w:sz="4" w:space="0" w:color="auto"/>
              <w:left w:val="single" w:sz="4" w:space="0" w:color="auto"/>
              <w:bottom w:val="single" w:sz="4" w:space="0" w:color="auto"/>
              <w:right w:val="single" w:sz="4" w:space="0" w:color="auto"/>
            </w:tcBorders>
            <w:hideMark/>
          </w:tcPr>
          <w:p w14:paraId="2C2C19A2"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-18513</w:t>
            </w:r>
          </w:p>
          <w:p w14:paraId="32E014E0"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(+2%)</w:t>
            </w:r>
          </w:p>
        </w:tc>
        <w:tc>
          <w:tcPr>
            <w:tcW w:w="1365" w:type="dxa"/>
            <w:tcBorders>
              <w:top w:val="single" w:sz="4" w:space="0" w:color="auto"/>
              <w:left w:val="single" w:sz="4" w:space="0" w:color="auto"/>
              <w:bottom w:val="single" w:sz="4" w:space="0" w:color="auto"/>
              <w:right w:val="single" w:sz="4" w:space="0" w:color="auto"/>
            </w:tcBorders>
            <w:hideMark/>
          </w:tcPr>
          <w:p w14:paraId="598D919E"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-20778</w:t>
            </w:r>
          </w:p>
          <w:p w14:paraId="271835BD"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(+5%)</w:t>
            </w:r>
          </w:p>
        </w:tc>
        <w:tc>
          <w:tcPr>
            <w:tcW w:w="1443" w:type="dxa"/>
            <w:tcBorders>
              <w:top w:val="single" w:sz="4" w:space="0" w:color="auto"/>
              <w:left w:val="single" w:sz="4" w:space="0" w:color="auto"/>
              <w:bottom w:val="single" w:sz="4" w:space="0" w:color="auto"/>
              <w:right w:val="single" w:sz="4" w:space="0" w:color="auto"/>
            </w:tcBorders>
            <w:hideMark/>
          </w:tcPr>
          <w:p w14:paraId="66D2573E"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-22741</w:t>
            </w:r>
          </w:p>
          <w:p w14:paraId="2E69DF95"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(+9%)</w:t>
            </w:r>
          </w:p>
        </w:tc>
        <w:tc>
          <w:tcPr>
            <w:tcW w:w="1443" w:type="dxa"/>
            <w:tcBorders>
              <w:top w:val="single" w:sz="4" w:space="0" w:color="auto"/>
              <w:left w:val="single" w:sz="4" w:space="0" w:color="auto"/>
              <w:bottom w:val="single" w:sz="4" w:space="0" w:color="auto"/>
              <w:right w:val="single" w:sz="4" w:space="0" w:color="auto"/>
            </w:tcBorders>
            <w:hideMark/>
          </w:tcPr>
          <w:p w14:paraId="2EB32CD9" w14:textId="77777777" w:rsidR="00FC0A22" w:rsidRDefault="00FC0A22">
            <w:pPr>
              <w:ind w:left="360"/>
              <w:jc w:val="right"/>
              <w:rPr>
                <w:rFonts w:ascii="Times New Roman" w:hAnsi="Times New Roman" w:cs="Times New Roman"/>
                <w:b/>
                <w:sz w:val="24"/>
                <w:szCs w:val="24"/>
              </w:rPr>
            </w:pPr>
            <w:r>
              <w:rPr>
                <w:rFonts w:ascii="Times New Roman" w:hAnsi="Times New Roman" w:cs="Times New Roman"/>
                <w:b/>
                <w:sz w:val="24"/>
                <w:szCs w:val="24"/>
              </w:rPr>
              <w:t>-24872</w:t>
            </w:r>
          </w:p>
          <w:p w14:paraId="2ACC52E1" w14:textId="77777777" w:rsidR="00FC0A22" w:rsidRDefault="00FC0A22">
            <w:pPr>
              <w:spacing w:line="254" w:lineRule="auto"/>
              <w:ind w:left="360"/>
              <w:jc w:val="right"/>
              <w:rPr>
                <w:rFonts w:ascii="Times New Roman" w:hAnsi="Times New Roman" w:cs="Times New Roman"/>
                <w:b/>
                <w:sz w:val="24"/>
                <w:szCs w:val="24"/>
              </w:rPr>
            </w:pPr>
            <w:r>
              <w:rPr>
                <w:rFonts w:ascii="Times New Roman" w:hAnsi="Times New Roman" w:cs="Times New Roman"/>
                <w:b/>
                <w:sz w:val="24"/>
                <w:szCs w:val="24"/>
              </w:rPr>
              <w:t>(+9%)</w:t>
            </w:r>
          </w:p>
        </w:tc>
      </w:tr>
    </w:tbl>
    <w:p w14:paraId="04F1B54C" w14:textId="77777777" w:rsidR="00FC0A22" w:rsidRDefault="00FC0A22" w:rsidP="00FC0A22">
      <w:pPr>
        <w:spacing w:line="360" w:lineRule="auto"/>
        <w:ind w:left="360"/>
        <w:jc w:val="both"/>
        <w:rPr>
          <w:rFonts w:ascii="Times New Roman" w:hAnsi="Times New Roman" w:cs="Times New Roman"/>
          <w:i/>
          <w:iCs/>
          <w:sz w:val="24"/>
          <w:szCs w:val="24"/>
        </w:rPr>
      </w:pPr>
      <w:r>
        <w:rPr>
          <w:rFonts w:ascii="Times New Roman" w:hAnsi="Times New Roman" w:cs="Times New Roman"/>
          <w:i/>
          <w:iCs/>
          <w:sz w:val="24"/>
          <w:szCs w:val="24"/>
        </w:rPr>
        <w:t>Источник: данные Росстата и расчеты ИНП РАН.</w:t>
      </w:r>
    </w:p>
    <w:p w14:paraId="47C4CBF2" w14:textId="77777777" w:rsidR="00FC0A22" w:rsidRDefault="00FC0A22" w:rsidP="00FC0A2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 точки зрения роли госсектора в перераспределении национального дохода в пользу населения необходимо отметить, что в </w:t>
      </w:r>
      <w:proofErr w:type="gramStart"/>
      <w:r>
        <w:rPr>
          <w:rFonts w:ascii="Times New Roman" w:hAnsi="Times New Roman" w:cs="Times New Roman"/>
          <w:sz w:val="28"/>
          <w:szCs w:val="28"/>
        </w:rPr>
        <w:t>2016-2019</w:t>
      </w:r>
      <w:proofErr w:type="gramEnd"/>
      <w:r>
        <w:rPr>
          <w:rFonts w:ascii="Times New Roman" w:hAnsi="Times New Roman" w:cs="Times New Roman"/>
          <w:sz w:val="28"/>
          <w:szCs w:val="28"/>
        </w:rPr>
        <w:t xml:space="preserve"> гг. динамика чистого финансового потока от государства в пользу населения была достаточно высокой (табл. 4.2), но при этом оказалась ниже динамики потока от бизнеса к государству. Таким образом, потенциал наращивания поддержки населения в условиях значимого восстановления нефтяных цен и нефтегазовых доходов бюджета был использован не в полной мере. При этом наиболее стабильно наращивался объем финансирования социальных выплат домохозяйствам, тогда как для выплат заработной платы и трансфертов в натуральной форме реальный прирост финансирования произошел только в 2018 г.  </w:t>
      </w:r>
    </w:p>
    <w:p w14:paraId="63D0EA9D" w14:textId="2EBD8F35" w:rsidR="00FC0A22" w:rsidRDefault="00FC0A22" w:rsidP="00FC0A2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Сложившиеся потоки перераспределения доходов через государственный сектор в условиях низких темпов экономического роста и негативной динамики доходов населения дополнительно, пусть и незначительно, сдерживали экономический рост. Это, среди прочего, свидетельствует о том, что бюджетная политика последних лет носила </w:t>
      </w:r>
      <w:proofErr w:type="spellStart"/>
      <w:r>
        <w:rPr>
          <w:rFonts w:ascii="Times New Roman" w:hAnsi="Times New Roman" w:cs="Times New Roman"/>
          <w:sz w:val="28"/>
          <w:szCs w:val="28"/>
        </w:rPr>
        <w:t>проциклический</w:t>
      </w:r>
      <w:proofErr w:type="spellEnd"/>
      <w:r>
        <w:rPr>
          <w:rFonts w:ascii="Times New Roman" w:hAnsi="Times New Roman" w:cs="Times New Roman"/>
          <w:sz w:val="28"/>
          <w:szCs w:val="28"/>
        </w:rPr>
        <w:t xml:space="preserve"> характер, что естественно в условиях накапливания резервов. Проблема макроэкономического характера состоит в том, что при этом сформировались устойчивые тренды по снижению доли доходов, перераспределяемых в пользу населения. </w:t>
      </w:r>
    </w:p>
    <w:p w14:paraId="60C571DC" w14:textId="77777777" w:rsidR="00FC0A22" w:rsidRDefault="00FC0A22" w:rsidP="00FC0A2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связи с этим было бы целесообразно предусмотреть дополнительные меры компенсации снизившихся доходов населения, в том числе через инструменты увеличения трансфертов в натуральной форме в части обеспечения наиболее бедных граждан продовольствием, медикаментами и другими товарами первой необходимости. В современных условиях примером такой поддержки являются выдача детского питания для детей до 1 года в г. Москве.</w:t>
      </w:r>
    </w:p>
    <w:p w14:paraId="11ADE32F" w14:textId="47B34E7C" w:rsidR="00FC0A22" w:rsidRDefault="00FC0A22" w:rsidP="00FC0A22">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2020 г. пандемия, вызванные ею </w:t>
      </w:r>
      <w:proofErr w:type="spellStart"/>
      <w:r>
        <w:rPr>
          <w:rFonts w:ascii="Times New Roman" w:hAnsi="Times New Roman" w:cs="Times New Roman"/>
          <w:sz w:val="28"/>
          <w:szCs w:val="28"/>
        </w:rPr>
        <w:t>локдаун</w:t>
      </w:r>
      <w:proofErr w:type="spellEnd"/>
      <w:r>
        <w:rPr>
          <w:rFonts w:ascii="Times New Roman" w:hAnsi="Times New Roman" w:cs="Times New Roman"/>
          <w:sz w:val="28"/>
          <w:szCs w:val="28"/>
        </w:rPr>
        <w:t xml:space="preserve"> и обвал доходов населения послужили катализатором восстановления усилий государства по поддержке уровня жизни населения. Так, расходы федерального бюджета и региональных бюджетов на социальную политику выросли на 43% и на 24%, соответственно; расходы на здравоохранение – на 87% и 72%, соответственно. Также, несмотря на все ограничения в работе образовательных и культурных учреждений, расходы бюджетной системы на образование и культуру увеличились на 8%. Безусловно положительным можно считать опыт поддержки граждан, оставшихся без работы: благодаря значимому повышению размера пособий доля официально зарегистрированных безработных выросла до 77% от общего числа безработных (против 20% в начале года). Таким образом, повышение размера пособий стало практически единственной мерой поддержки занятых в неформальном секторе.</w:t>
      </w:r>
    </w:p>
    <w:p w14:paraId="56F148E1" w14:textId="44D6D49F" w:rsidR="00FC0A22" w:rsidRDefault="00FC0A22" w:rsidP="00FC0A22">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Однако, расходы на оплату труда занятых в госсекторе росли значительно медленнее – на 6% в номинальным выражении (по состоянию на 1 декабря 2020 г.) или на 1.8% в реальном выражении. Это означает, что не все категории работающих в бюджетном секторе были поддержаны государством: так, по данным за январь-октябрь прирост среднемесячной заработной платы одного занятого в сфере культуры и спорта составил 0.3% в номинальном выражении (-3% с учетом инфляции). В сфере образования прирост составил +5.6%, однако уровень зарплаты по-прежнему существенно ниже среднего по экономике (77%). Более того, даже в здравоохранении на фоне всех введенных доплат за работу с </w:t>
      </w:r>
      <w:r>
        <w:rPr>
          <w:rFonts w:ascii="Times New Roman" w:hAnsi="Times New Roman" w:cs="Times New Roman"/>
          <w:sz w:val="28"/>
          <w:szCs w:val="28"/>
          <w:lang w:val="en-GB"/>
        </w:rPr>
        <w:t>COVID</w:t>
      </w:r>
      <w:r>
        <w:rPr>
          <w:rFonts w:ascii="Times New Roman" w:hAnsi="Times New Roman" w:cs="Times New Roman"/>
          <w:sz w:val="28"/>
          <w:szCs w:val="28"/>
        </w:rPr>
        <w:t>-пациентами (благодаря чему зарплата выросла на 14.5%) уровень оплаты труда ниже среднероссийского на 2%.</w:t>
      </w:r>
    </w:p>
    <w:p w14:paraId="0185D288" w14:textId="00A7AEFC" w:rsidR="00FC0A22" w:rsidRDefault="00FC0A22" w:rsidP="00FC0A22">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ближайшую трехлетку (судя по принятому закону о федеральном бюджете на </w:t>
      </w:r>
      <w:proofErr w:type="gramStart"/>
      <w:r>
        <w:rPr>
          <w:rFonts w:ascii="Times New Roman" w:hAnsi="Times New Roman" w:cs="Times New Roman"/>
          <w:sz w:val="28"/>
          <w:szCs w:val="28"/>
        </w:rPr>
        <w:t>2021-2023</w:t>
      </w:r>
      <w:proofErr w:type="gramEnd"/>
      <w:r>
        <w:rPr>
          <w:rFonts w:ascii="Times New Roman" w:hAnsi="Times New Roman" w:cs="Times New Roman"/>
          <w:sz w:val="28"/>
          <w:szCs w:val="28"/>
        </w:rPr>
        <w:t xml:space="preserve"> гг.) объем финансирования бюджетных расходов сохранится. Более того, даже ожидается некоторая коррекция вверх в 2021 г., несмотря на вероятное сокращение доходной базы (см. табл. 4.3). Однако уже в 2022 г. расходы (без учета процентных выплат по госзаймам) планируется значительно снизить (прежде всего в части расходов на национальную экономику, см. табл. 4.4). Исключение составят расходы на здравоохранение, социальную политику и образование (в номинальном выражении). При этом номинальное сокращение расходов федерального бюджета в 2021 г. составит 5% год к году (после роста на 24% в 2020 г. – оценка Минфина) с последующим ростом на 2% в 2022 г. и на 8% в 2023 г. Таким образом, только в 2023 г. номинальный уровень федеральных расходов превысит объем расходов 2020 г., а в реальном выражении их снижение к концу рассматриваемого периода составит 6.5%.</w:t>
      </w:r>
    </w:p>
    <w:p w14:paraId="05EA6960" w14:textId="77777777" w:rsidR="00FC0A22" w:rsidRDefault="00FC0A22" w:rsidP="00FC0A22">
      <w:pPr>
        <w:spacing w:line="360" w:lineRule="auto"/>
        <w:ind w:left="567"/>
        <w:rPr>
          <w:rFonts w:ascii="Times New Roman" w:hAnsi="Times New Roman" w:cs="Times New Roman"/>
          <w:sz w:val="28"/>
          <w:szCs w:val="28"/>
        </w:rPr>
      </w:pPr>
      <w:r>
        <w:rPr>
          <w:rFonts w:ascii="Times New Roman" w:hAnsi="Times New Roman" w:cs="Times New Roman"/>
          <w:sz w:val="28"/>
          <w:szCs w:val="28"/>
        </w:rPr>
        <w:t xml:space="preserve">Таблица 4.3. Разница в проектных уровнях расходов федерального бюджета РФ, утвержденных в рамках закона о бюджете на периоды </w:t>
      </w:r>
      <w:proofErr w:type="gramStart"/>
      <w:r>
        <w:rPr>
          <w:rFonts w:ascii="Times New Roman" w:hAnsi="Times New Roman" w:cs="Times New Roman"/>
          <w:sz w:val="28"/>
          <w:szCs w:val="28"/>
        </w:rPr>
        <w:t>2021-2022</w:t>
      </w:r>
      <w:proofErr w:type="gramEnd"/>
      <w:r>
        <w:rPr>
          <w:rFonts w:ascii="Times New Roman" w:hAnsi="Times New Roman" w:cs="Times New Roman"/>
          <w:sz w:val="28"/>
          <w:szCs w:val="28"/>
        </w:rPr>
        <w:t xml:space="preserve"> гг. и 2020-2022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895"/>
        <w:gridCol w:w="895"/>
      </w:tblGrid>
      <w:tr w:rsidR="00FC0A22" w14:paraId="7662C074" w14:textId="77777777" w:rsidTr="00FC0A22">
        <w:tc>
          <w:tcPr>
            <w:tcW w:w="7366" w:type="dxa"/>
            <w:vMerge w:val="restart"/>
            <w:tcBorders>
              <w:top w:val="single" w:sz="4" w:space="0" w:color="auto"/>
              <w:left w:val="single" w:sz="4" w:space="0" w:color="auto"/>
              <w:bottom w:val="single" w:sz="4" w:space="0" w:color="auto"/>
              <w:right w:val="single" w:sz="4" w:space="0" w:color="auto"/>
            </w:tcBorders>
            <w:hideMark/>
          </w:tcPr>
          <w:p w14:paraId="0CD943AC"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Параметры федерального бюджета</w:t>
            </w:r>
          </w:p>
        </w:tc>
        <w:tc>
          <w:tcPr>
            <w:tcW w:w="895" w:type="dxa"/>
            <w:tcBorders>
              <w:top w:val="single" w:sz="4" w:space="0" w:color="auto"/>
              <w:left w:val="single" w:sz="4" w:space="0" w:color="auto"/>
              <w:bottom w:val="single" w:sz="4" w:space="0" w:color="auto"/>
              <w:right w:val="single" w:sz="4" w:space="0" w:color="auto"/>
            </w:tcBorders>
            <w:hideMark/>
          </w:tcPr>
          <w:p w14:paraId="0605DA8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2021</w:t>
            </w:r>
          </w:p>
        </w:tc>
        <w:tc>
          <w:tcPr>
            <w:tcW w:w="895" w:type="dxa"/>
            <w:tcBorders>
              <w:top w:val="single" w:sz="4" w:space="0" w:color="auto"/>
              <w:left w:val="single" w:sz="4" w:space="0" w:color="auto"/>
              <w:bottom w:val="single" w:sz="4" w:space="0" w:color="auto"/>
              <w:right w:val="single" w:sz="4" w:space="0" w:color="auto"/>
            </w:tcBorders>
            <w:hideMark/>
          </w:tcPr>
          <w:p w14:paraId="299C909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2022</w:t>
            </w:r>
          </w:p>
        </w:tc>
      </w:tr>
      <w:tr w:rsidR="00FC0A22" w14:paraId="0B0503F8" w14:textId="77777777" w:rsidTr="00FC0A22">
        <w:tc>
          <w:tcPr>
            <w:tcW w:w="0" w:type="auto"/>
            <w:vMerge/>
            <w:tcBorders>
              <w:top w:val="single" w:sz="4" w:space="0" w:color="auto"/>
              <w:left w:val="single" w:sz="4" w:space="0" w:color="auto"/>
              <w:bottom w:val="single" w:sz="4" w:space="0" w:color="auto"/>
              <w:right w:val="single" w:sz="4" w:space="0" w:color="auto"/>
            </w:tcBorders>
            <w:vAlign w:val="center"/>
            <w:hideMark/>
          </w:tcPr>
          <w:p w14:paraId="457E13E2" w14:textId="77777777" w:rsidR="00FC0A22" w:rsidRDefault="00FC0A22">
            <w:pPr>
              <w:spacing w:after="0" w:line="240" w:lineRule="auto"/>
              <w:rPr>
                <w:rFonts w:ascii="Times New Roman" w:hAnsi="Times New Roman" w:cs="Times New Roman"/>
                <w:sz w:val="20"/>
                <w:szCs w:val="20"/>
                <w:lang w:eastAsia="ru-RU"/>
              </w:rPr>
            </w:pPr>
          </w:p>
        </w:tc>
        <w:tc>
          <w:tcPr>
            <w:tcW w:w="895" w:type="dxa"/>
            <w:tcBorders>
              <w:top w:val="single" w:sz="4" w:space="0" w:color="auto"/>
              <w:left w:val="single" w:sz="4" w:space="0" w:color="auto"/>
              <w:bottom w:val="single" w:sz="4" w:space="0" w:color="auto"/>
              <w:right w:val="single" w:sz="4" w:space="0" w:color="auto"/>
            </w:tcBorders>
            <w:hideMark/>
          </w:tcPr>
          <w:p w14:paraId="10CD94C1"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ФБ</w:t>
            </w:r>
          </w:p>
        </w:tc>
        <w:tc>
          <w:tcPr>
            <w:tcW w:w="895" w:type="dxa"/>
            <w:tcBorders>
              <w:top w:val="single" w:sz="4" w:space="0" w:color="auto"/>
              <w:left w:val="single" w:sz="4" w:space="0" w:color="auto"/>
              <w:bottom w:val="single" w:sz="4" w:space="0" w:color="auto"/>
              <w:right w:val="single" w:sz="4" w:space="0" w:color="auto"/>
            </w:tcBorders>
            <w:hideMark/>
          </w:tcPr>
          <w:p w14:paraId="39D066D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ФБ</w:t>
            </w:r>
          </w:p>
        </w:tc>
      </w:tr>
      <w:tr w:rsidR="00FC0A22" w14:paraId="1D3A48ED"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5A7602BB" w14:textId="77777777" w:rsidR="00FC0A22" w:rsidRDefault="00FC0A22">
            <w:pPr>
              <w:spacing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 xml:space="preserve">Доходы, </w:t>
            </w:r>
            <w:proofErr w:type="spellStart"/>
            <w:r>
              <w:rPr>
                <w:rFonts w:ascii="Times New Roman" w:hAnsi="Times New Roman" w:cs="Times New Roman"/>
                <w:b/>
                <w:sz w:val="20"/>
                <w:szCs w:val="20"/>
                <w:lang w:eastAsia="ru-RU"/>
              </w:rPr>
              <w:t>млрд.руб</w:t>
            </w:r>
            <w:proofErr w:type="spellEnd"/>
            <w:r>
              <w:rPr>
                <w:rFonts w:ascii="Times New Roman" w:hAnsi="Times New Roman" w:cs="Times New Roman"/>
                <w:b/>
                <w:sz w:val="20"/>
                <w:szCs w:val="20"/>
                <w:lang w:eastAsia="ru-RU"/>
              </w:rPr>
              <w:t>.</w:t>
            </w:r>
          </w:p>
        </w:tc>
        <w:tc>
          <w:tcPr>
            <w:tcW w:w="895" w:type="dxa"/>
            <w:tcBorders>
              <w:top w:val="single" w:sz="4" w:space="0" w:color="auto"/>
              <w:left w:val="single" w:sz="4" w:space="0" w:color="auto"/>
              <w:bottom w:val="single" w:sz="4" w:space="0" w:color="auto"/>
              <w:right w:val="single" w:sz="4" w:space="0" w:color="auto"/>
            </w:tcBorders>
            <w:hideMark/>
          </w:tcPr>
          <w:p w14:paraId="7C539E44"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-2481</w:t>
            </w:r>
          </w:p>
        </w:tc>
        <w:tc>
          <w:tcPr>
            <w:tcW w:w="895" w:type="dxa"/>
            <w:tcBorders>
              <w:top w:val="single" w:sz="4" w:space="0" w:color="auto"/>
              <w:left w:val="single" w:sz="4" w:space="0" w:color="auto"/>
              <w:bottom w:val="single" w:sz="4" w:space="0" w:color="auto"/>
              <w:right w:val="single" w:sz="4" w:space="0" w:color="auto"/>
            </w:tcBorders>
            <w:hideMark/>
          </w:tcPr>
          <w:p w14:paraId="2EEB8AD8"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-1421</w:t>
            </w:r>
          </w:p>
        </w:tc>
      </w:tr>
      <w:tr w:rsidR="00FC0A22" w14:paraId="4EEAA496"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600C785F" w14:textId="77777777" w:rsidR="00FC0A22" w:rsidRDefault="00FC0A22">
            <w:pPr>
              <w:spacing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 xml:space="preserve">Расходы, </w:t>
            </w:r>
            <w:proofErr w:type="spellStart"/>
            <w:r>
              <w:rPr>
                <w:rFonts w:ascii="Times New Roman" w:hAnsi="Times New Roman" w:cs="Times New Roman"/>
                <w:b/>
                <w:sz w:val="20"/>
                <w:szCs w:val="20"/>
                <w:lang w:eastAsia="ru-RU"/>
              </w:rPr>
              <w:t>млрд.руб</w:t>
            </w:r>
            <w:proofErr w:type="spellEnd"/>
            <w:r>
              <w:rPr>
                <w:rFonts w:ascii="Times New Roman" w:hAnsi="Times New Roman" w:cs="Times New Roman"/>
                <w:b/>
                <w:sz w:val="20"/>
                <w:szCs w:val="20"/>
                <w:lang w:eastAsia="ru-RU"/>
              </w:rPr>
              <w:t>.</w:t>
            </w:r>
          </w:p>
        </w:tc>
        <w:tc>
          <w:tcPr>
            <w:tcW w:w="895" w:type="dxa"/>
            <w:tcBorders>
              <w:top w:val="single" w:sz="4" w:space="0" w:color="auto"/>
              <w:left w:val="single" w:sz="4" w:space="0" w:color="auto"/>
              <w:bottom w:val="single" w:sz="4" w:space="0" w:color="auto"/>
              <w:right w:val="single" w:sz="4" w:space="0" w:color="auto"/>
            </w:tcBorders>
            <w:hideMark/>
          </w:tcPr>
          <w:p w14:paraId="5972D144"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+886</w:t>
            </w:r>
          </w:p>
        </w:tc>
        <w:tc>
          <w:tcPr>
            <w:tcW w:w="895" w:type="dxa"/>
            <w:tcBorders>
              <w:top w:val="single" w:sz="4" w:space="0" w:color="auto"/>
              <w:left w:val="single" w:sz="4" w:space="0" w:color="auto"/>
              <w:bottom w:val="single" w:sz="4" w:space="0" w:color="auto"/>
              <w:right w:val="single" w:sz="4" w:space="0" w:color="auto"/>
            </w:tcBorders>
            <w:hideMark/>
          </w:tcPr>
          <w:p w14:paraId="24D3081A"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+122</w:t>
            </w:r>
          </w:p>
        </w:tc>
      </w:tr>
      <w:tr w:rsidR="00FC0A22" w14:paraId="6E36F702"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1AB8F1DA"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в том числе:</w:t>
            </w:r>
          </w:p>
        </w:tc>
        <w:tc>
          <w:tcPr>
            <w:tcW w:w="895" w:type="dxa"/>
            <w:tcBorders>
              <w:top w:val="single" w:sz="4" w:space="0" w:color="auto"/>
              <w:left w:val="single" w:sz="4" w:space="0" w:color="auto"/>
              <w:bottom w:val="single" w:sz="4" w:space="0" w:color="auto"/>
              <w:right w:val="single" w:sz="4" w:space="0" w:color="auto"/>
            </w:tcBorders>
          </w:tcPr>
          <w:p w14:paraId="4422E620" w14:textId="77777777" w:rsidR="00FC0A22" w:rsidRDefault="00FC0A22">
            <w:pPr>
              <w:spacing w:line="240" w:lineRule="auto"/>
              <w:jc w:val="center"/>
              <w:rPr>
                <w:rFonts w:ascii="Times New Roman" w:hAnsi="Times New Roman" w:cs="Times New Roman"/>
                <w:sz w:val="20"/>
                <w:szCs w:val="20"/>
                <w:lang w:eastAsia="ru-RU"/>
              </w:rPr>
            </w:pPr>
          </w:p>
        </w:tc>
        <w:tc>
          <w:tcPr>
            <w:tcW w:w="895" w:type="dxa"/>
            <w:tcBorders>
              <w:top w:val="single" w:sz="4" w:space="0" w:color="auto"/>
              <w:left w:val="single" w:sz="4" w:space="0" w:color="auto"/>
              <w:bottom w:val="single" w:sz="4" w:space="0" w:color="auto"/>
              <w:right w:val="single" w:sz="4" w:space="0" w:color="auto"/>
            </w:tcBorders>
          </w:tcPr>
          <w:p w14:paraId="09E340BB" w14:textId="77777777" w:rsidR="00FC0A22" w:rsidRDefault="00FC0A22">
            <w:pPr>
              <w:spacing w:line="240" w:lineRule="auto"/>
              <w:jc w:val="center"/>
              <w:rPr>
                <w:rFonts w:ascii="Times New Roman" w:hAnsi="Times New Roman" w:cs="Times New Roman"/>
                <w:sz w:val="20"/>
                <w:szCs w:val="20"/>
                <w:lang w:eastAsia="ru-RU"/>
              </w:rPr>
            </w:pPr>
          </w:p>
        </w:tc>
      </w:tr>
      <w:tr w:rsidR="00FC0A22" w14:paraId="7BA11464"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4DAF06F4"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образование,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5" w:type="dxa"/>
            <w:tcBorders>
              <w:top w:val="single" w:sz="4" w:space="0" w:color="auto"/>
              <w:left w:val="single" w:sz="4" w:space="0" w:color="auto"/>
              <w:bottom w:val="single" w:sz="4" w:space="0" w:color="auto"/>
              <w:right w:val="single" w:sz="4" w:space="0" w:color="auto"/>
            </w:tcBorders>
            <w:hideMark/>
          </w:tcPr>
          <w:p w14:paraId="4EAAA8F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+135</w:t>
            </w:r>
          </w:p>
        </w:tc>
        <w:tc>
          <w:tcPr>
            <w:tcW w:w="895" w:type="dxa"/>
            <w:tcBorders>
              <w:top w:val="single" w:sz="4" w:space="0" w:color="auto"/>
              <w:left w:val="single" w:sz="4" w:space="0" w:color="auto"/>
              <w:bottom w:val="single" w:sz="4" w:space="0" w:color="auto"/>
              <w:right w:val="single" w:sz="4" w:space="0" w:color="auto"/>
            </w:tcBorders>
            <w:hideMark/>
          </w:tcPr>
          <w:p w14:paraId="0420DBE8"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+149</w:t>
            </w:r>
          </w:p>
        </w:tc>
      </w:tr>
      <w:tr w:rsidR="00FC0A22" w14:paraId="781EDE1B"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6D983A9C"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культура,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5" w:type="dxa"/>
            <w:tcBorders>
              <w:top w:val="single" w:sz="4" w:space="0" w:color="auto"/>
              <w:left w:val="single" w:sz="4" w:space="0" w:color="auto"/>
              <w:bottom w:val="single" w:sz="4" w:space="0" w:color="auto"/>
              <w:right w:val="single" w:sz="4" w:space="0" w:color="auto"/>
            </w:tcBorders>
            <w:hideMark/>
          </w:tcPr>
          <w:p w14:paraId="040D5D4C"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w:t>
            </w:r>
          </w:p>
        </w:tc>
        <w:tc>
          <w:tcPr>
            <w:tcW w:w="895" w:type="dxa"/>
            <w:tcBorders>
              <w:top w:val="single" w:sz="4" w:space="0" w:color="auto"/>
              <w:left w:val="single" w:sz="4" w:space="0" w:color="auto"/>
              <w:bottom w:val="single" w:sz="4" w:space="0" w:color="auto"/>
              <w:right w:val="single" w:sz="4" w:space="0" w:color="auto"/>
            </w:tcBorders>
            <w:hideMark/>
          </w:tcPr>
          <w:p w14:paraId="0FC0F25F"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w:t>
            </w:r>
          </w:p>
        </w:tc>
      </w:tr>
      <w:tr w:rsidR="00FC0A22" w14:paraId="6C2DC06F"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533BA978"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здравоохранение,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5" w:type="dxa"/>
            <w:tcBorders>
              <w:top w:val="single" w:sz="4" w:space="0" w:color="auto"/>
              <w:left w:val="single" w:sz="4" w:space="0" w:color="auto"/>
              <w:bottom w:val="single" w:sz="4" w:space="0" w:color="auto"/>
              <w:right w:val="single" w:sz="4" w:space="0" w:color="auto"/>
            </w:tcBorders>
            <w:hideMark/>
          </w:tcPr>
          <w:p w14:paraId="32E13D9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+168</w:t>
            </w:r>
          </w:p>
        </w:tc>
        <w:tc>
          <w:tcPr>
            <w:tcW w:w="895" w:type="dxa"/>
            <w:tcBorders>
              <w:top w:val="single" w:sz="4" w:space="0" w:color="auto"/>
              <w:left w:val="single" w:sz="4" w:space="0" w:color="auto"/>
              <w:bottom w:val="single" w:sz="4" w:space="0" w:color="auto"/>
              <w:right w:val="single" w:sz="4" w:space="0" w:color="auto"/>
            </w:tcBorders>
            <w:hideMark/>
          </w:tcPr>
          <w:p w14:paraId="06044091"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+159</w:t>
            </w:r>
          </w:p>
        </w:tc>
      </w:tr>
      <w:tr w:rsidR="00FC0A22" w14:paraId="00EB475C"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323C4049"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социальная политика,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5" w:type="dxa"/>
            <w:tcBorders>
              <w:top w:val="single" w:sz="4" w:space="0" w:color="auto"/>
              <w:left w:val="single" w:sz="4" w:space="0" w:color="auto"/>
              <w:bottom w:val="single" w:sz="4" w:space="0" w:color="auto"/>
              <w:right w:val="single" w:sz="4" w:space="0" w:color="auto"/>
            </w:tcBorders>
            <w:hideMark/>
          </w:tcPr>
          <w:p w14:paraId="4C7B01F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+548</w:t>
            </w:r>
          </w:p>
        </w:tc>
        <w:tc>
          <w:tcPr>
            <w:tcW w:w="895" w:type="dxa"/>
            <w:tcBorders>
              <w:top w:val="single" w:sz="4" w:space="0" w:color="auto"/>
              <w:left w:val="single" w:sz="4" w:space="0" w:color="auto"/>
              <w:bottom w:val="single" w:sz="4" w:space="0" w:color="auto"/>
              <w:right w:val="single" w:sz="4" w:space="0" w:color="auto"/>
            </w:tcBorders>
            <w:hideMark/>
          </w:tcPr>
          <w:p w14:paraId="26074B9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+934</w:t>
            </w:r>
          </w:p>
        </w:tc>
      </w:tr>
      <w:tr w:rsidR="00FC0A22" w14:paraId="76B18624" w14:textId="77777777" w:rsidTr="00FC0A22">
        <w:tc>
          <w:tcPr>
            <w:tcW w:w="7366" w:type="dxa"/>
            <w:tcBorders>
              <w:top w:val="single" w:sz="4" w:space="0" w:color="auto"/>
              <w:left w:val="single" w:sz="4" w:space="0" w:color="auto"/>
              <w:bottom w:val="single" w:sz="4" w:space="0" w:color="auto"/>
              <w:right w:val="single" w:sz="4" w:space="0" w:color="auto"/>
            </w:tcBorders>
            <w:hideMark/>
          </w:tcPr>
          <w:p w14:paraId="5D1D38B0"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физкультура и спорт,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5" w:type="dxa"/>
            <w:tcBorders>
              <w:top w:val="single" w:sz="4" w:space="0" w:color="auto"/>
              <w:left w:val="single" w:sz="4" w:space="0" w:color="auto"/>
              <w:bottom w:val="single" w:sz="4" w:space="0" w:color="auto"/>
              <w:right w:val="single" w:sz="4" w:space="0" w:color="auto"/>
            </w:tcBorders>
            <w:hideMark/>
          </w:tcPr>
          <w:p w14:paraId="45148E7B"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895" w:type="dxa"/>
            <w:tcBorders>
              <w:top w:val="single" w:sz="4" w:space="0" w:color="auto"/>
              <w:left w:val="single" w:sz="4" w:space="0" w:color="auto"/>
              <w:bottom w:val="single" w:sz="4" w:space="0" w:color="auto"/>
              <w:right w:val="single" w:sz="4" w:space="0" w:color="auto"/>
            </w:tcBorders>
            <w:hideMark/>
          </w:tcPr>
          <w:p w14:paraId="40AAE21F"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bl>
    <w:p w14:paraId="13740CD7" w14:textId="77777777" w:rsidR="00FC0A22" w:rsidRDefault="00FC0A22" w:rsidP="00FC0A22">
      <w:pPr>
        <w:spacing w:line="360" w:lineRule="auto"/>
        <w:ind w:left="567"/>
        <w:jc w:val="both"/>
        <w:rPr>
          <w:rFonts w:ascii="Times New Roman" w:hAnsi="Times New Roman" w:cs="Times New Roman"/>
          <w:sz w:val="24"/>
          <w:szCs w:val="24"/>
        </w:rPr>
      </w:pPr>
    </w:p>
    <w:p w14:paraId="661D4E06" w14:textId="535BF287" w:rsidR="00FC0A22" w:rsidRDefault="00FC0A22" w:rsidP="00FC0A22">
      <w:pPr>
        <w:spacing w:line="360" w:lineRule="auto"/>
        <w:ind w:firstLine="567"/>
        <w:jc w:val="both"/>
        <w:rPr>
          <w:rFonts w:ascii="Times New Roman" w:hAnsi="Times New Roman" w:cs="Times New Roman"/>
          <w:sz w:val="28"/>
          <w:szCs w:val="24"/>
        </w:rPr>
      </w:pPr>
      <w:r>
        <w:rPr>
          <w:rFonts w:ascii="Times New Roman" w:hAnsi="Times New Roman" w:cs="Times New Roman"/>
          <w:sz w:val="28"/>
          <w:szCs w:val="24"/>
        </w:rPr>
        <w:t>Несмотря на обнадеживающие планы в части</w:t>
      </w:r>
      <w:r w:rsidR="00DE595B">
        <w:rPr>
          <w:rFonts w:ascii="Times New Roman" w:hAnsi="Times New Roman" w:cs="Times New Roman"/>
          <w:sz w:val="28"/>
          <w:szCs w:val="24"/>
        </w:rPr>
        <w:t xml:space="preserve"> повышения</w:t>
      </w:r>
      <w:r>
        <w:rPr>
          <w:rFonts w:ascii="Times New Roman" w:hAnsi="Times New Roman" w:cs="Times New Roman"/>
          <w:sz w:val="28"/>
          <w:szCs w:val="24"/>
        </w:rPr>
        <w:t xml:space="preserve"> государственных социальных расходов, источники их финансирования не вполне устойчивы. На всем периоде </w:t>
      </w:r>
      <w:proofErr w:type="gramStart"/>
      <w:r>
        <w:rPr>
          <w:rFonts w:ascii="Times New Roman" w:hAnsi="Times New Roman" w:cs="Times New Roman"/>
          <w:sz w:val="28"/>
          <w:szCs w:val="24"/>
        </w:rPr>
        <w:t>2021-2023</w:t>
      </w:r>
      <w:proofErr w:type="gramEnd"/>
      <w:r>
        <w:rPr>
          <w:rFonts w:ascii="Times New Roman" w:hAnsi="Times New Roman" w:cs="Times New Roman"/>
          <w:sz w:val="28"/>
          <w:szCs w:val="24"/>
        </w:rPr>
        <w:t xml:space="preserve"> гг. прирост расходов федерального бюджета будет сфокусирован не на социальных, а на </w:t>
      </w:r>
      <w:r w:rsidRPr="00B46E37">
        <w:rPr>
          <w:rFonts w:ascii="Times New Roman" w:hAnsi="Times New Roman" w:cs="Times New Roman"/>
          <w:sz w:val="28"/>
          <w:szCs w:val="24"/>
        </w:rPr>
        <w:t xml:space="preserve">инфраструктурных расходах. Увеличение социальных расходов будет обеспечиваться на уровне региональных бюджетов и бюджетов внебюджетных фондов. Сбалансированность последних предполагается обеспечить в том числе за счет растущих трансфертов из федерального бюджета, однако поддержка из центра региональных бюджетов в </w:t>
      </w:r>
      <w:proofErr w:type="gramStart"/>
      <w:r w:rsidRPr="00B46E37">
        <w:rPr>
          <w:rFonts w:ascii="Times New Roman" w:hAnsi="Times New Roman" w:cs="Times New Roman"/>
          <w:sz w:val="28"/>
          <w:szCs w:val="24"/>
        </w:rPr>
        <w:t>2021-2022</w:t>
      </w:r>
      <w:proofErr w:type="gramEnd"/>
      <w:r w:rsidRPr="00B46E37">
        <w:rPr>
          <w:rFonts w:ascii="Times New Roman" w:hAnsi="Times New Roman" w:cs="Times New Roman"/>
          <w:sz w:val="28"/>
          <w:szCs w:val="24"/>
        </w:rPr>
        <w:t xml:space="preserve"> гг. будет значительно сокращена (на 18% и 3% соответственно). Рост собственных доходов регионов при этом объективно ограничен на фоне невысоких восстановительных темпов роста экономики. Все это, вероятно, может привести к коррекции запланированных расходов в меньшую сторону</w:t>
      </w:r>
      <w:r>
        <w:rPr>
          <w:rFonts w:ascii="Times New Roman" w:hAnsi="Times New Roman" w:cs="Times New Roman"/>
          <w:sz w:val="28"/>
          <w:szCs w:val="24"/>
        </w:rPr>
        <w:t xml:space="preserve"> (прежде всего, в здравоохранении). </w:t>
      </w:r>
    </w:p>
    <w:p w14:paraId="0D4725AF" w14:textId="77777777" w:rsidR="00FC0A22" w:rsidRDefault="00FC0A22" w:rsidP="00FC0A22">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Таблица 4.4. Оценки динамики расходов бюджетной системы РФ на период </w:t>
      </w:r>
      <w:proofErr w:type="gramStart"/>
      <w:r>
        <w:rPr>
          <w:rFonts w:ascii="Times New Roman" w:hAnsi="Times New Roman" w:cs="Times New Roman"/>
          <w:sz w:val="28"/>
          <w:szCs w:val="28"/>
        </w:rPr>
        <w:t>2021-2023</w:t>
      </w:r>
      <w:proofErr w:type="gramEnd"/>
      <w:r>
        <w:rPr>
          <w:rFonts w:ascii="Times New Roman" w:hAnsi="Times New Roman" w:cs="Times New Roman"/>
          <w:sz w:val="28"/>
          <w:szCs w:val="28"/>
        </w:rPr>
        <w:t xml:space="preserve"> гг. (с учетом внебюджетных фондов)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893"/>
        <w:gridCol w:w="893"/>
        <w:gridCol w:w="892"/>
        <w:gridCol w:w="892"/>
        <w:gridCol w:w="892"/>
        <w:gridCol w:w="892"/>
      </w:tblGrid>
      <w:tr w:rsidR="00FC0A22" w14:paraId="10C676DD" w14:textId="77777777" w:rsidTr="00FC0A22">
        <w:tc>
          <w:tcPr>
            <w:tcW w:w="3991" w:type="dxa"/>
            <w:vMerge w:val="restart"/>
            <w:tcBorders>
              <w:top w:val="single" w:sz="4" w:space="0" w:color="auto"/>
              <w:left w:val="single" w:sz="4" w:space="0" w:color="auto"/>
              <w:bottom w:val="single" w:sz="4" w:space="0" w:color="auto"/>
              <w:right w:val="single" w:sz="4" w:space="0" w:color="auto"/>
            </w:tcBorders>
            <w:hideMark/>
          </w:tcPr>
          <w:p w14:paraId="7D7D5475"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Параметры бюджетной системы</w:t>
            </w:r>
          </w:p>
        </w:tc>
        <w:tc>
          <w:tcPr>
            <w:tcW w:w="1786" w:type="dxa"/>
            <w:gridSpan w:val="2"/>
            <w:tcBorders>
              <w:top w:val="single" w:sz="4" w:space="0" w:color="auto"/>
              <w:left w:val="single" w:sz="4" w:space="0" w:color="auto"/>
              <w:bottom w:val="single" w:sz="4" w:space="0" w:color="auto"/>
              <w:right w:val="single" w:sz="4" w:space="0" w:color="auto"/>
            </w:tcBorders>
            <w:hideMark/>
          </w:tcPr>
          <w:p w14:paraId="4C1DFAF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2021</w:t>
            </w:r>
          </w:p>
        </w:tc>
        <w:tc>
          <w:tcPr>
            <w:tcW w:w="1784" w:type="dxa"/>
            <w:gridSpan w:val="2"/>
            <w:tcBorders>
              <w:top w:val="single" w:sz="4" w:space="0" w:color="auto"/>
              <w:left w:val="single" w:sz="4" w:space="0" w:color="auto"/>
              <w:bottom w:val="single" w:sz="4" w:space="0" w:color="auto"/>
              <w:right w:val="single" w:sz="4" w:space="0" w:color="auto"/>
            </w:tcBorders>
            <w:hideMark/>
          </w:tcPr>
          <w:p w14:paraId="35310C3A"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2022</w:t>
            </w:r>
          </w:p>
        </w:tc>
        <w:tc>
          <w:tcPr>
            <w:tcW w:w="1784" w:type="dxa"/>
            <w:gridSpan w:val="2"/>
            <w:tcBorders>
              <w:top w:val="single" w:sz="4" w:space="0" w:color="auto"/>
              <w:left w:val="single" w:sz="4" w:space="0" w:color="auto"/>
              <w:bottom w:val="single" w:sz="4" w:space="0" w:color="auto"/>
              <w:right w:val="single" w:sz="4" w:space="0" w:color="auto"/>
            </w:tcBorders>
            <w:hideMark/>
          </w:tcPr>
          <w:p w14:paraId="35AEDFA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2023</w:t>
            </w:r>
          </w:p>
        </w:tc>
      </w:tr>
      <w:tr w:rsidR="00FC0A22" w14:paraId="26664289" w14:textId="77777777" w:rsidTr="00FC0A22">
        <w:tc>
          <w:tcPr>
            <w:tcW w:w="0" w:type="auto"/>
            <w:vMerge/>
            <w:tcBorders>
              <w:top w:val="single" w:sz="4" w:space="0" w:color="auto"/>
              <w:left w:val="single" w:sz="4" w:space="0" w:color="auto"/>
              <w:bottom w:val="single" w:sz="4" w:space="0" w:color="auto"/>
              <w:right w:val="single" w:sz="4" w:space="0" w:color="auto"/>
            </w:tcBorders>
            <w:vAlign w:val="center"/>
            <w:hideMark/>
          </w:tcPr>
          <w:p w14:paraId="28CABF6C" w14:textId="77777777" w:rsidR="00FC0A22" w:rsidRDefault="00FC0A22">
            <w:pPr>
              <w:spacing w:after="0" w:line="240" w:lineRule="auto"/>
              <w:rPr>
                <w:rFonts w:ascii="Times New Roman" w:hAnsi="Times New Roman" w:cs="Times New Roman"/>
                <w:sz w:val="20"/>
                <w:szCs w:val="20"/>
                <w:lang w:eastAsia="ru-RU"/>
              </w:rPr>
            </w:pPr>
          </w:p>
        </w:tc>
        <w:tc>
          <w:tcPr>
            <w:tcW w:w="893" w:type="dxa"/>
            <w:tcBorders>
              <w:top w:val="single" w:sz="4" w:space="0" w:color="auto"/>
              <w:left w:val="single" w:sz="4" w:space="0" w:color="auto"/>
              <w:bottom w:val="single" w:sz="4" w:space="0" w:color="auto"/>
              <w:right w:val="single" w:sz="4" w:space="0" w:color="auto"/>
            </w:tcBorders>
            <w:hideMark/>
          </w:tcPr>
          <w:p w14:paraId="051E627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Всего</w:t>
            </w:r>
          </w:p>
        </w:tc>
        <w:tc>
          <w:tcPr>
            <w:tcW w:w="893" w:type="dxa"/>
            <w:tcBorders>
              <w:top w:val="single" w:sz="4" w:space="0" w:color="auto"/>
              <w:left w:val="single" w:sz="4" w:space="0" w:color="auto"/>
              <w:bottom w:val="single" w:sz="4" w:space="0" w:color="auto"/>
              <w:right w:val="single" w:sz="4" w:space="0" w:color="auto"/>
            </w:tcBorders>
            <w:hideMark/>
          </w:tcPr>
          <w:p w14:paraId="79B4F72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ФБ</w:t>
            </w:r>
          </w:p>
        </w:tc>
        <w:tc>
          <w:tcPr>
            <w:tcW w:w="892" w:type="dxa"/>
            <w:tcBorders>
              <w:top w:val="single" w:sz="4" w:space="0" w:color="auto"/>
              <w:left w:val="single" w:sz="4" w:space="0" w:color="auto"/>
              <w:bottom w:val="single" w:sz="4" w:space="0" w:color="auto"/>
              <w:right w:val="single" w:sz="4" w:space="0" w:color="auto"/>
            </w:tcBorders>
            <w:hideMark/>
          </w:tcPr>
          <w:p w14:paraId="2E797CCA"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Всего</w:t>
            </w:r>
          </w:p>
        </w:tc>
        <w:tc>
          <w:tcPr>
            <w:tcW w:w="892" w:type="dxa"/>
            <w:tcBorders>
              <w:top w:val="single" w:sz="4" w:space="0" w:color="auto"/>
              <w:left w:val="single" w:sz="4" w:space="0" w:color="auto"/>
              <w:bottom w:val="single" w:sz="4" w:space="0" w:color="auto"/>
              <w:right w:val="single" w:sz="4" w:space="0" w:color="auto"/>
            </w:tcBorders>
            <w:hideMark/>
          </w:tcPr>
          <w:p w14:paraId="05B51619"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ФБ</w:t>
            </w:r>
          </w:p>
        </w:tc>
        <w:tc>
          <w:tcPr>
            <w:tcW w:w="892" w:type="dxa"/>
            <w:tcBorders>
              <w:top w:val="single" w:sz="4" w:space="0" w:color="auto"/>
              <w:left w:val="single" w:sz="4" w:space="0" w:color="auto"/>
              <w:bottom w:val="single" w:sz="4" w:space="0" w:color="auto"/>
              <w:right w:val="single" w:sz="4" w:space="0" w:color="auto"/>
            </w:tcBorders>
            <w:hideMark/>
          </w:tcPr>
          <w:p w14:paraId="0F1D5FDA"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Всего</w:t>
            </w:r>
          </w:p>
        </w:tc>
        <w:tc>
          <w:tcPr>
            <w:tcW w:w="892" w:type="dxa"/>
            <w:tcBorders>
              <w:top w:val="single" w:sz="4" w:space="0" w:color="auto"/>
              <w:left w:val="single" w:sz="4" w:space="0" w:color="auto"/>
              <w:bottom w:val="single" w:sz="4" w:space="0" w:color="auto"/>
              <w:right w:val="single" w:sz="4" w:space="0" w:color="auto"/>
            </w:tcBorders>
            <w:hideMark/>
          </w:tcPr>
          <w:p w14:paraId="74F2EC7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ФБ</w:t>
            </w:r>
          </w:p>
        </w:tc>
      </w:tr>
      <w:tr w:rsidR="00FC0A22" w14:paraId="7FDB03F6"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3C134954" w14:textId="77777777" w:rsidR="00FC0A22" w:rsidRDefault="00FC0A22">
            <w:pPr>
              <w:spacing w:line="240" w:lineRule="auto"/>
              <w:rPr>
                <w:rFonts w:ascii="Times New Roman" w:hAnsi="Times New Roman" w:cs="Times New Roman"/>
                <w:b/>
                <w:sz w:val="20"/>
                <w:szCs w:val="20"/>
                <w:lang w:eastAsia="ru-RU"/>
              </w:rPr>
            </w:pPr>
            <w:r>
              <w:rPr>
                <w:rFonts w:ascii="Times New Roman" w:hAnsi="Times New Roman" w:cs="Times New Roman"/>
                <w:b/>
                <w:sz w:val="20"/>
                <w:szCs w:val="20"/>
                <w:lang w:eastAsia="ru-RU"/>
              </w:rPr>
              <w:t xml:space="preserve">Расходы, </w:t>
            </w:r>
            <w:proofErr w:type="spellStart"/>
            <w:r>
              <w:rPr>
                <w:rFonts w:ascii="Times New Roman" w:hAnsi="Times New Roman" w:cs="Times New Roman"/>
                <w:b/>
                <w:sz w:val="20"/>
                <w:szCs w:val="20"/>
                <w:lang w:eastAsia="ru-RU"/>
              </w:rPr>
              <w:t>млрд.руб</w:t>
            </w:r>
            <w:proofErr w:type="spellEnd"/>
            <w:r>
              <w:rPr>
                <w:rFonts w:ascii="Times New Roman" w:hAnsi="Times New Roman" w:cs="Times New Roman"/>
                <w:b/>
                <w:sz w:val="20"/>
                <w:szCs w:val="20"/>
                <w:lang w:eastAsia="ru-RU"/>
              </w:rPr>
              <w:t>.</w:t>
            </w:r>
          </w:p>
        </w:tc>
        <w:tc>
          <w:tcPr>
            <w:tcW w:w="893" w:type="dxa"/>
            <w:tcBorders>
              <w:top w:val="single" w:sz="4" w:space="0" w:color="auto"/>
              <w:left w:val="single" w:sz="4" w:space="0" w:color="auto"/>
              <w:bottom w:val="single" w:sz="4" w:space="0" w:color="auto"/>
              <w:right w:val="single" w:sz="4" w:space="0" w:color="auto"/>
            </w:tcBorders>
            <w:hideMark/>
          </w:tcPr>
          <w:p w14:paraId="4AF0E0E6"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42570</w:t>
            </w:r>
          </w:p>
        </w:tc>
        <w:tc>
          <w:tcPr>
            <w:tcW w:w="893" w:type="dxa"/>
            <w:tcBorders>
              <w:top w:val="single" w:sz="4" w:space="0" w:color="auto"/>
              <w:left w:val="single" w:sz="4" w:space="0" w:color="auto"/>
              <w:bottom w:val="single" w:sz="4" w:space="0" w:color="auto"/>
              <w:right w:val="single" w:sz="4" w:space="0" w:color="auto"/>
            </w:tcBorders>
            <w:hideMark/>
          </w:tcPr>
          <w:p w14:paraId="15F0B90A"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21502</w:t>
            </w:r>
          </w:p>
        </w:tc>
        <w:tc>
          <w:tcPr>
            <w:tcW w:w="892" w:type="dxa"/>
            <w:tcBorders>
              <w:top w:val="single" w:sz="4" w:space="0" w:color="auto"/>
              <w:left w:val="single" w:sz="4" w:space="0" w:color="auto"/>
              <w:bottom w:val="single" w:sz="4" w:space="0" w:color="auto"/>
              <w:right w:val="single" w:sz="4" w:space="0" w:color="auto"/>
            </w:tcBorders>
            <w:hideMark/>
          </w:tcPr>
          <w:p w14:paraId="4EF7742C"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43611</w:t>
            </w:r>
          </w:p>
        </w:tc>
        <w:tc>
          <w:tcPr>
            <w:tcW w:w="892" w:type="dxa"/>
            <w:tcBorders>
              <w:top w:val="single" w:sz="4" w:space="0" w:color="auto"/>
              <w:left w:val="single" w:sz="4" w:space="0" w:color="auto"/>
              <w:bottom w:val="single" w:sz="4" w:space="0" w:color="auto"/>
              <w:right w:val="single" w:sz="4" w:space="0" w:color="auto"/>
            </w:tcBorders>
            <w:hideMark/>
          </w:tcPr>
          <w:p w14:paraId="06309707"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21885</w:t>
            </w:r>
          </w:p>
        </w:tc>
        <w:tc>
          <w:tcPr>
            <w:tcW w:w="892" w:type="dxa"/>
            <w:tcBorders>
              <w:top w:val="single" w:sz="4" w:space="0" w:color="auto"/>
              <w:left w:val="single" w:sz="4" w:space="0" w:color="auto"/>
              <w:bottom w:val="single" w:sz="4" w:space="0" w:color="auto"/>
              <w:right w:val="single" w:sz="4" w:space="0" w:color="auto"/>
            </w:tcBorders>
            <w:hideMark/>
          </w:tcPr>
          <w:p w14:paraId="111E8F42"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46506</w:t>
            </w:r>
          </w:p>
        </w:tc>
        <w:tc>
          <w:tcPr>
            <w:tcW w:w="892" w:type="dxa"/>
            <w:tcBorders>
              <w:top w:val="single" w:sz="4" w:space="0" w:color="auto"/>
              <w:left w:val="single" w:sz="4" w:space="0" w:color="auto"/>
              <w:bottom w:val="single" w:sz="4" w:space="0" w:color="auto"/>
              <w:right w:val="single" w:sz="4" w:space="0" w:color="auto"/>
            </w:tcBorders>
            <w:hideMark/>
          </w:tcPr>
          <w:p w14:paraId="5C6A94CA" w14:textId="77777777" w:rsidR="00FC0A22" w:rsidRDefault="00FC0A22">
            <w:pPr>
              <w:spacing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23671</w:t>
            </w:r>
          </w:p>
        </w:tc>
      </w:tr>
      <w:tr w:rsidR="00FC0A22" w14:paraId="01321949"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1033FADE"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352BCBEC"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103%</w:t>
            </w:r>
          </w:p>
        </w:tc>
        <w:tc>
          <w:tcPr>
            <w:tcW w:w="893" w:type="dxa"/>
            <w:tcBorders>
              <w:top w:val="single" w:sz="4" w:space="0" w:color="auto"/>
              <w:left w:val="single" w:sz="4" w:space="0" w:color="auto"/>
              <w:bottom w:val="single" w:sz="4" w:space="0" w:color="auto"/>
              <w:right w:val="single" w:sz="4" w:space="0" w:color="auto"/>
            </w:tcBorders>
            <w:hideMark/>
          </w:tcPr>
          <w:p w14:paraId="6C3AFC31"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95%</w:t>
            </w:r>
          </w:p>
        </w:tc>
        <w:tc>
          <w:tcPr>
            <w:tcW w:w="892" w:type="dxa"/>
            <w:tcBorders>
              <w:top w:val="single" w:sz="4" w:space="0" w:color="auto"/>
              <w:left w:val="single" w:sz="4" w:space="0" w:color="auto"/>
              <w:bottom w:val="single" w:sz="4" w:space="0" w:color="auto"/>
              <w:right w:val="single" w:sz="4" w:space="0" w:color="auto"/>
            </w:tcBorders>
            <w:hideMark/>
          </w:tcPr>
          <w:p w14:paraId="2DE9CD6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102</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7D78B32A"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102</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1A7E438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107%</w:t>
            </w:r>
          </w:p>
        </w:tc>
        <w:tc>
          <w:tcPr>
            <w:tcW w:w="892" w:type="dxa"/>
            <w:tcBorders>
              <w:top w:val="single" w:sz="4" w:space="0" w:color="auto"/>
              <w:left w:val="single" w:sz="4" w:space="0" w:color="auto"/>
              <w:bottom w:val="single" w:sz="4" w:space="0" w:color="auto"/>
              <w:right w:val="single" w:sz="4" w:space="0" w:color="auto"/>
            </w:tcBorders>
            <w:hideMark/>
          </w:tcPr>
          <w:p w14:paraId="78F24446"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108%</w:t>
            </w:r>
          </w:p>
        </w:tc>
      </w:tr>
      <w:tr w:rsidR="00FC0A22" w14:paraId="1D828874"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7A00AFB3"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в том числе:</w:t>
            </w:r>
          </w:p>
        </w:tc>
        <w:tc>
          <w:tcPr>
            <w:tcW w:w="893" w:type="dxa"/>
            <w:tcBorders>
              <w:top w:val="single" w:sz="4" w:space="0" w:color="auto"/>
              <w:left w:val="single" w:sz="4" w:space="0" w:color="auto"/>
              <w:bottom w:val="single" w:sz="4" w:space="0" w:color="auto"/>
              <w:right w:val="single" w:sz="4" w:space="0" w:color="auto"/>
            </w:tcBorders>
          </w:tcPr>
          <w:p w14:paraId="0761705A" w14:textId="77777777" w:rsidR="00FC0A22" w:rsidRDefault="00FC0A22">
            <w:pPr>
              <w:spacing w:line="240" w:lineRule="auto"/>
              <w:jc w:val="center"/>
              <w:rPr>
                <w:rFonts w:ascii="Times New Roman" w:hAnsi="Times New Roman" w:cs="Times New Roman"/>
                <w:sz w:val="20"/>
                <w:szCs w:val="20"/>
                <w:lang w:eastAsia="ru-RU"/>
              </w:rPr>
            </w:pPr>
          </w:p>
        </w:tc>
        <w:tc>
          <w:tcPr>
            <w:tcW w:w="893" w:type="dxa"/>
            <w:tcBorders>
              <w:top w:val="single" w:sz="4" w:space="0" w:color="auto"/>
              <w:left w:val="single" w:sz="4" w:space="0" w:color="auto"/>
              <w:bottom w:val="single" w:sz="4" w:space="0" w:color="auto"/>
              <w:right w:val="single" w:sz="4" w:space="0" w:color="auto"/>
            </w:tcBorders>
          </w:tcPr>
          <w:p w14:paraId="401FD130" w14:textId="77777777" w:rsidR="00FC0A22" w:rsidRDefault="00FC0A22">
            <w:pPr>
              <w:spacing w:line="240" w:lineRule="auto"/>
              <w:jc w:val="center"/>
              <w:rPr>
                <w:rFonts w:ascii="Times New Roman" w:hAnsi="Times New Roman" w:cs="Times New Roman"/>
                <w:sz w:val="20"/>
                <w:szCs w:val="20"/>
                <w:lang w:eastAsia="ru-RU"/>
              </w:rPr>
            </w:pPr>
          </w:p>
        </w:tc>
        <w:tc>
          <w:tcPr>
            <w:tcW w:w="892" w:type="dxa"/>
            <w:tcBorders>
              <w:top w:val="single" w:sz="4" w:space="0" w:color="auto"/>
              <w:left w:val="single" w:sz="4" w:space="0" w:color="auto"/>
              <w:bottom w:val="single" w:sz="4" w:space="0" w:color="auto"/>
              <w:right w:val="single" w:sz="4" w:space="0" w:color="auto"/>
            </w:tcBorders>
          </w:tcPr>
          <w:p w14:paraId="1FA8E386" w14:textId="77777777" w:rsidR="00FC0A22" w:rsidRDefault="00FC0A22">
            <w:pPr>
              <w:spacing w:line="240" w:lineRule="auto"/>
              <w:jc w:val="center"/>
              <w:rPr>
                <w:rFonts w:ascii="Times New Roman" w:hAnsi="Times New Roman" w:cs="Times New Roman"/>
                <w:sz w:val="20"/>
                <w:szCs w:val="20"/>
                <w:lang w:eastAsia="ru-RU"/>
              </w:rPr>
            </w:pPr>
          </w:p>
        </w:tc>
        <w:tc>
          <w:tcPr>
            <w:tcW w:w="892" w:type="dxa"/>
            <w:tcBorders>
              <w:top w:val="single" w:sz="4" w:space="0" w:color="auto"/>
              <w:left w:val="single" w:sz="4" w:space="0" w:color="auto"/>
              <w:bottom w:val="single" w:sz="4" w:space="0" w:color="auto"/>
              <w:right w:val="single" w:sz="4" w:space="0" w:color="auto"/>
            </w:tcBorders>
          </w:tcPr>
          <w:p w14:paraId="2D2D514A" w14:textId="77777777" w:rsidR="00FC0A22" w:rsidRDefault="00FC0A22">
            <w:pPr>
              <w:spacing w:line="240" w:lineRule="auto"/>
              <w:jc w:val="center"/>
              <w:rPr>
                <w:rFonts w:ascii="Times New Roman" w:hAnsi="Times New Roman" w:cs="Times New Roman"/>
                <w:sz w:val="20"/>
                <w:szCs w:val="20"/>
                <w:lang w:eastAsia="ru-RU"/>
              </w:rPr>
            </w:pPr>
          </w:p>
        </w:tc>
        <w:tc>
          <w:tcPr>
            <w:tcW w:w="892" w:type="dxa"/>
            <w:tcBorders>
              <w:top w:val="single" w:sz="4" w:space="0" w:color="auto"/>
              <w:left w:val="single" w:sz="4" w:space="0" w:color="auto"/>
              <w:bottom w:val="single" w:sz="4" w:space="0" w:color="auto"/>
              <w:right w:val="single" w:sz="4" w:space="0" w:color="auto"/>
            </w:tcBorders>
          </w:tcPr>
          <w:p w14:paraId="3E9453E8" w14:textId="77777777" w:rsidR="00FC0A22" w:rsidRDefault="00FC0A22">
            <w:pPr>
              <w:spacing w:line="240" w:lineRule="auto"/>
              <w:jc w:val="center"/>
              <w:rPr>
                <w:rFonts w:ascii="Times New Roman" w:hAnsi="Times New Roman" w:cs="Times New Roman"/>
                <w:sz w:val="20"/>
                <w:szCs w:val="20"/>
                <w:lang w:eastAsia="ru-RU"/>
              </w:rPr>
            </w:pPr>
          </w:p>
        </w:tc>
        <w:tc>
          <w:tcPr>
            <w:tcW w:w="892" w:type="dxa"/>
            <w:tcBorders>
              <w:top w:val="single" w:sz="4" w:space="0" w:color="auto"/>
              <w:left w:val="single" w:sz="4" w:space="0" w:color="auto"/>
              <w:bottom w:val="single" w:sz="4" w:space="0" w:color="auto"/>
              <w:right w:val="single" w:sz="4" w:space="0" w:color="auto"/>
            </w:tcBorders>
          </w:tcPr>
          <w:p w14:paraId="5B63C4D2" w14:textId="77777777" w:rsidR="00FC0A22" w:rsidRDefault="00FC0A22">
            <w:pPr>
              <w:spacing w:line="240" w:lineRule="auto"/>
              <w:jc w:val="center"/>
              <w:rPr>
                <w:rFonts w:ascii="Times New Roman" w:hAnsi="Times New Roman" w:cs="Times New Roman"/>
                <w:sz w:val="20"/>
                <w:szCs w:val="20"/>
                <w:lang w:eastAsia="ru-RU"/>
              </w:rPr>
            </w:pPr>
          </w:p>
        </w:tc>
      </w:tr>
      <w:tr w:rsidR="00FC0A22" w14:paraId="15337637"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33B98DA7"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образование,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3" w:type="dxa"/>
            <w:tcBorders>
              <w:top w:val="single" w:sz="4" w:space="0" w:color="auto"/>
              <w:left w:val="single" w:sz="4" w:space="0" w:color="auto"/>
              <w:bottom w:val="single" w:sz="4" w:space="0" w:color="auto"/>
              <w:right w:val="single" w:sz="4" w:space="0" w:color="auto"/>
            </w:tcBorders>
            <w:hideMark/>
          </w:tcPr>
          <w:p w14:paraId="707C0C6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4465</w:t>
            </w:r>
          </w:p>
        </w:tc>
        <w:tc>
          <w:tcPr>
            <w:tcW w:w="893" w:type="dxa"/>
            <w:tcBorders>
              <w:top w:val="single" w:sz="4" w:space="0" w:color="auto"/>
              <w:left w:val="single" w:sz="4" w:space="0" w:color="auto"/>
              <w:bottom w:val="single" w:sz="4" w:space="0" w:color="auto"/>
              <w:right w:val="single" w:sz="4" w:space="0" w:color="auto"/>
            </w:tcBorders>
            <w:hideMark/>
          </w:tcPr>
          <w:p w14:paraId="61F4588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1083</w:t>
            </w:r>
          </w:p>
        </w:tc>
        <w:tc>
          <w:tcPr>
            <w:tcW w:w="892" w:type="dxa"/>
            <w:tcBorders>
              <w:top w:val="single" w:sz="4" w:space="0" w:color="auto"/>
              <w:left w:val="single" w:sz="4" w:space="0" w:color="auto"/>
              <w:bottom w:val="single" w:sz="4" w:space="0" w:color="auto"/>
              <w:right w:val="single" w:sz="4" w:space="0" w:color="auto"/>
            </w:tcBorders>
            <w:hideMark/>
          </w:tcPr>
          <w:p w14:paraId="75F52B26"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4573</w:t>
            </w:r>
          </w:p>
        </w:tc>
        <w:tc>
          <w:tcPr>
            <w:tcW w:w="892" w:type="dxa"/>
            <w:tcBorders>
              <w:top w:val="single" w:sz="4" w:space="0" w:color="auto"/>
              <w:left w:val="single" w:sz="4" w:space="0" w:color="auto"/>
              <w:bottom w:val="single" w:sz="4" w:space="0" w:color="auto"/>
              <w:right w:val="single" w:sz="4" w:space="0" w:color="auto"/>
            </w:tcBorders>
            <w:hideMark/>
          </w:tcPr>
          <w:p w14:paraId="59855786" w14:textId="77777777" w:rsidR="00FC0A22" w:rsidRDefault="00FC0A22">
            <w:pPr>
              <w:spacing w:line="240" w:lineRule="auto"/>
              <w:jc w:val="center"/>
              <w:rPr>
                <w:rFonts w:ascii="Times New Roman" w:hAnsi="Times New Roman" w:cs="Times New Roman"/>
                <w:sz w:val="20"/>
                <w:szCs w:val="20"/>
                <w:lang w:val="en-GB" w:eastAsia="ru-RU"/>
              </w:rPr>
            </w:pPr>
            <w:r>
              <w:rPr>
                <w:rFonts w:ascii="Times New Roman" w:hAnsi="Times New Roman" w:cs="Times New Roman"/>
                <w:sz w:val="20"/>
                <w:szCs w:val="20"/>
                <w:lang w:val="en-GB" w:eastAsia="ru-RU"/>
              </w:rPr>
              <w:t>1052</w:t>
            </w:r>
          </w:p>
        </w:tc>
        <w:tc>
          <w:tcPr>
            <w:tcW w:w="892" w:type="dxa"/>
            <w:tcBorders>
              <w:top w:val="single" w:sz="4" w:space="0" w:color="auto"/>
              <w:left w:val="single" w:sz="4" w:space="0" w:color="auto"/>
              <w:bottom w:val="single" w:sz="4" w:space="0" w:color="auto"/>
              <w:right w:val="single" w:sz="4" w:space="0" w:color="auto"/>
            </w:tcBorders>
            <w:hideMark/>
          </w:tcPr>
          <w:p w14:paraId="6B7BA04B"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4788</w:t>
            </w:r>
          </w:p>
        </w:tc>
        <w:tc>
          <w:tcPr>
            <w:tcW w:w="892" w:type="dxa"/>
            <w:tcBorders>
              <w:top w:val="single" w:sz="4" w:space="0" w:color="auto"/>
              <w:left w:val="single" w:sz="4" w:space="0" w:color="auto"/>
              <w:bottom w:val="single" w:sz="4" w:space="0" w:color="auto"/>
              <w:right w:val="single" w:sz="4" w:space="0" w:color="auto"/>
            </w:tcBorders>
            <w:hideMark/>
          </w:tcPr>
          <w:p w14:paraId="00C15DA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1095</w:t>
            </w:r>
          </w:p>
        </w:tc>
      </w:tr>
      <w:tr w:rsidR="00FC0A22" w14:paraId="6713CAA8"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724AD094"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3B30B6B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105%</w:t>
            </w:r>
          </w:p>
        </w:tc>
        <w:tc>
          <w:tcPr>
            <w:tcW w:w="893" w:type="dxa"/>
            <w:tcBorders>
              <w:top w:val="single" w:sz="4" w:space="0" w:color="auto"/>
              <w:left w:val="single" w:sz="4" w:space="0" w:color="auto"/>
              <w:bottom w:val="single" w:sz="4" w:space="0" w:color="auto"/>
              <w:right w:val="single" w:sz="4" w:space="0" w:color="auto"/>
            </w:tcBorders>
            <w:hideMark/>
          </w:tcPr>
          <w:p w14:paraId="56DF415B"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107%</w:t>
            </w:r>
          </w:p>
        </w:tc>
        <w:tc>
          <w:tcPr>
            <w:tcW w:w="892" w:type="dxa"/>
            <w:tcBorders>
              <w:top w:val="single" w:sz="4" w:space="0" w:color="auto"/>
              <w:left w:val="single" w:sz="4" w:space="0" w:color="auto"/>
              <w:bottom w:val="single" w:sz="4" w:space="0" w:color="auto"/>
              <w:right w:val="single" w:sz="4" w:space="0" w:color="auto"/>
            </w:tcBorders>
            <w:hideMark/>
          </w:tcPr>
          <w:p w14:paraId="4DDB31F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102</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6D1814B6"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97</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4FDF775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105%</w:t>
            </w:r>
          </w:p>
        </w:tc>
        <w:tc>
          <w:tcPr>
            <w:tcW w:w="892" w:type="dxa"/>
            <w:tcBorders>
              <w:top w:val="single" w:sz="4" w:space="0" w:color="auto"/>
              <w:left w:val="single" w:sz="4" w:space="0" w:color="auto"/>
              <w:bottom w:val="single" w:sz="4" w:space="0" w:color="auto"/>
              <w:right w:val="single" w:sz="4" w:space="0" w:color="auto"/>
            </w:tcBorders>
            <w:hideMark/>
          </w:tcPr>
          <w:p w14:paraId="4AF2FE5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104%</w:t>
            </w:r>
          </w:p>
        </w:tc>
      </w:tr>
      <w:tr w:rsidR="00FC0A22" w14:paraId="18477EDE"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7D528FAE"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культура,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3" w:type="dxa"/>
            <w:tcBorders>
              <w:top w:val="single" w:sz="4" w:space="0" w:color="auto"/>
              <w:left w:val="single" w:sz="4" w:space="0" w:color="auto"/>
              <w:bottom w:val="single" w:sz="4" w:space="0" w:color="auto"/>
              <w:right w:val="single" w:sz="4" w:space="0" w:color="auto"/>
            </w:tcBorders>
            <w:hideMark/>
          </w:tcPr>
          <w:p w14:paraId="635F01B1"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625</w:t>
            </w:r>
          </w:p>
        </w:tc>
        <w:tc>
          <w:tcPr>
            <w:tcW w:w="893" w:type="dxa"/>
            <w:tcBorders>
              <w:top w:val="single" w:sz="4" w:space="0" w:color="auto"/>
              <w:left w:val="single" w:sz="4" w:space="0" w:color="auto"/>
              <w:bottom w:val="single" w:sz="4" w:space="0" w:color="auto"/>
              <w:right w:val="single" w:sz="4" w:space="0" w:color="auto"/>
            </w:tcBorders>
            <w:hideMark/>
          </w:tcPr>
          <w:p w14:paraId="4ED0CA5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135</w:t>
            </w:r>
          </w:p>
        </w:tc>
        <w:tc>
          <w:tcPr>
            <w:tcW w:w="892" w:type="dxa"/>
            <w:tcBorders>
              <w:top w:val="single" w:sz="4" w:space="0" w:color="auto"/>
              <w:left w:val="single" w:sz="4" w:space="0" w:color="auto"/>
              <w:bottom w:val="single" w:sz="4" w:space="0" w:color="auto"/>
              <w:right w:val="single" w:sz="4" w:space="0" w:color="auto"/>
            </w:tcBorders>
            <w:hideMark/>
          </w:tcPr>
          <w:p w14:paraId="3AEEC8F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638</w:t>
            </w:r>
          </w:p>
        </w:tc>
        <w:tc>
          <w:tcPr>
            <w:tcW w:w="892" w:type="dxa"/>
            <w:tcBorders>
              <w:top w:val="single" w:sz="4" w:space="0" w:color="auto"/>
              <w:left w:val="single" w:sz="4" w:space="0" w:color="auto"/>
              <w:bottom w:val="single" w:sz="4" w:space="0" w:color="auto"/>
              <w:right w:val="single" w:sz="4" w:space="0" w:color="auto"/>
            </w:tcBorders>
            <w:hideMark/>
          </w:tcPr>
          <w:p w14:paraId="75A16EE5" w14:textId="77777777" w:rsidR="00FC0A22" w:rsidRDefault="00FC0A22">
            <w:pPr>
              <w:spacing w:line="240" w:lineRule="auto"/>
              <w:jc w:val="center"/>
              <w:rPr>
                <w:rFonts w:ascii="Times New Roman" w:hAnsi="Times New Roman" w:cs="Times New Roman"/>
                <w:sz w:val="20"/>
                <w:szCs w:val="20"/>
                <w:lang w:val="en-GB" w:eastAsia="ru-RU"/>
              </w:rPr>
            </w:pPr>
            <w:r>
              <w:rPr>
                <w:rFonts w:ascii="Times New Roman" w:hAnsi="Times New Roman" w:cs="Times New Roman"/>
                <w:sz w:val="20"/>
                <w:szCs w:val="20"/>
                <w:lang w:val="en-GB" w:eastAsia="ru-RU"/>
              </w:rPr>
              <w:t>125</w:t>
            </w:r>
          </w:p>
        </w:tc>
        <w:tc>
          <w:tcPr>
            <w:tcW w:w="892" w:type="dxa"/>
            <w:tcBorders>
              <w:top w:val="single" w:sz="4" w:space="0" w:color="auto"/>
              <w:left w:val="single" w:sz="4" w:space="0" w:color="auto"/>
              <w:bottom w:val="single" w:sz="4" w:space="0" w:color="auto"/>
              <w:right w:val="single" w:sz="4" w:space="0" w:color="auto"/>
            </w:tcBorders>
            <w:hideMark/>
          </w:tcPr>
          <w:p w14:paraId="4D2830F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662</w:t>
            </w:r>
          </w:p>
        </w:tc>
        <w:tc>
          <w:tcPr>
            <w:tcW w:w="892" w:type="dxa"/>
            <w:tcBorders>
              <w:top w:val="single" w:sz="4" w:space="0" w:color="auto"/>
              <w:left w:val="single" w:sz="4" w:space="0" w:color="auto"/>
              <w:bottom w:val="single" w:sz="4" w:space="0" w:color="auto"/>
              <w:right w:val="single" w:sz="4" w:space="0" w:color="auto"/>
            </w:tcBorders>
            <w:hideMark/>
          </w:tcPr>
          <w:p w14:paraId="19EC4609"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122</w:t>
            </w:r>
          </w:p>
        </w:tc>
      </w:tr>
      <w:tr w:rsidR="00FC0A22" w14:paraId="12851DD6"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09DADBF3"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2C34AFD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101%</w:t>
            </w:r>
          </w:p>
        </w:tc>
        <w:tc>
          <w:tcPr>
            <w:tcW w:w="893" w:type="dxa"/>
            <w:tcBorders>
              <w:top w:val="single" w:sz="4" w:space="0" w:color="auto"/>
              <w:left w:val="single" w:sz="4" w:space="0" w:color="auto"/>
              <w:bottom w:val="single" w:sz="4" w:space="0" w:color="auto"/>
              <w:right w:val="single" w:sz="4" w:space="0" w:color="auto"/>
            </w:tcBorders>
            <w:hideMark/>
          </w:tcPr>
          <w:p w14:paraId="7C4A147B"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93%</w:t>
            </w:r>
          </w:p>
        </w:tc>
        <w:tc>
          <w:tcPr>
            <w:tcW w:w="892" w:type="dxa"/>
            <w:tcBorders>
              <w:top w:val="single" w:sz="4" w:space="0" w:color="auto"/>
              <w:left w:val="single" w:sz="4" w:space="0" w:color="auto"/>
              <w:bottom w:val="single" w:sz="4" w:space="0" w:color="auto"/>
              <w:right w:val="single" w:sz="4" w:space="0" w:color="auto"/>
            </w:tcBorders>
            <w:hideMark/>
          </w:tcPr>
          <w:p w14:paraId="4100A2E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102</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50773BD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93</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093F3D2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104%</w:t>
            </w:r>
          </w:p>
        </w:tc>
        <w:tc>
          <w:tcPr>
            <w:tcW w:w="892" w:type="dxa"/>
            <w:tcBorders>
              <w:top w:val="single" w:sz="4" w:space="0" w:color="auto"/>
              <w:left w:val="single" w:sz="4" w:space="0" w:color="auto"/>
              <w:bottom w:val="single" w:sz="4" w:space="0" w:color="auto"/>
              <w:right w:val="single" w:sz="4" w:space="0" w:color="auto"/>
            </w:tcBorders>
            <w:hideMark/>
          </w:tcPr>
          <w:p w14:paraId="5A192AA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97%</w:t>
            </w:r>
          </w:p>
        </w:tc>
      </w:tr>
      <w:tr w:rsidR="00FC0A22" w14:paraId="683F3D89"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17D648D3"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здравоохранение,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3" w:type="dxa"/>
            <w:tcBorders>
              <w:top w:val="single" w:sz="4" w:space="0" w:color="auto"/>
              <w:left w:val="single" w:sz="4" w:space="0" w:color="auto"/>
              <w:bottom w:val="single" w:sz="4" w:space="0" w:color="auto"/>
              <w:right w:val="single" w:sz="4" w:space="0" w:color="auto"/>
            </w:tcBorders>
            <w:hideMark/>
          </w:tcPr>
          <w:p w14:paraId="12B4955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4428</w:t>
            </w:r>
          </w:p>
        </w:tc>
        <w:tc>
          <w:tcPr>
            <w:tcW w:w="893" w:type="dxa"/>
            <w:tcBorders>
              <w:top w:val="single" w:sz="4" w:space="0" w:color="auto"/>
              <w:left w:val="single" w:sz="4" w:space="0" w:color="auto"/>
              <w:bottom w:val="single" w:sz="4" w:space="0" w:color="auto"/>
              <w:right w:val="single" w:sz="4" w:space="0" w:color="auto"/>
            </w:tcBorders>
            <w:hideMark/>
          </w:tcPr>
          <w:p w14:paraId="34D186B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1129</w:t>
            </w:r>
          </w:p>
        </w:tc>
        <w:tc>
          <w:tcPr>
            <w:tcW w:w="892" w:type="dxa"/>
            <w:tcBorders>
              <w:top w:val="single" w:sz="4" w:space="0" w:color="auto"/>
              <w:left w:val="single" w:sz="4" w:space="0" w:color="auto"/>
              <w:bottom w:val="single" w:sz="4" w:space="0" w:color="auto"/>
              <w:right w:val="single" w:sz="4" w:space="0" w:color="auto"/>
            </w:tcBorders>
            <w:hideMark/>
          </w:tcPr>
          <w:p w14:paraId="6529F418"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4591</w:t>
            </w:r>
          </w:p>
        </w:tc>
        <w:tc>
          <w:tcPr>
            <w:tcW w:w="892" w:type="dxa"/>
            <w:tcBorders>
              <w:top w:val="single" w:sz="4" w:space="0" w:color="auto"/>
              <w:left w:val="single" w:sz="4" w:space="0" w:color="auto"/>
              <w:bottom w:val="single" w:sz="4" w:space="0" w:color="auto"/>
              <w:right w:val="single" w:sz="4" w:space="0" w:color="auto"/>
            </w:tcBorders>
            <w:hideMark/>
          </w:tcPr>
          <w:p w14:paraId="15861FDA" w14:textId="77777777" w:rsidR="00FC0A22" w:rsidRDefault="00FC0A22">
            <w:pPr>
              <w:spacing w:line="240" w:lineRule="auto"/>
              <w:jc w:val="center"/>
              <w:rPr>
                <w:rFonts w:ascii="Times New Roman" w:hAnsi="Times New Roman" w:cs="Times New Roman"/>
                <w:sz w:val="20"/>
                <w:szCs w:val="20"/>
                <w:lang w:val="en-GB" w:eastAsia="ru-RU"/>
              </w:rPr>
            </w:pPr>
            <w:r>
              <w:rPr>
                <w:rFonts w:ascii="Times New Roman" w:hAnsi="Times New Roman" w:cs="Times New Roman"/>
                <w:sz w:val="20"/>
                <w:szCs w:val="20"/>
                <w:lang w:val="en-GB" w:eastAsia="ru-RU"/>
              </w:rPr>
              <w:t>1135</w:t>
            </w:r>
          </w:p>
        </w:tc>
        <w:tc>
          <w:tcPr>
            <w:tcW w:w="892" w:type="dxa"/>
            <w:tcBorders>
              <w:top w:val="single" w:sz="4" w:space="0" w:color="auto"/>
              <w:left w:val="single" w:sz="4" w:space="0" w:color="auto"/>
              <w:bottom w:val="single" w:sz="4" w:space="0" w:color="auto"/>
              <w:right w:val="single" w:sz="4" w:space="0" w:color="auto"/>
            </w:tcBorders>
            <w:hideMark/>
          </w:tcPr>
          <w:p w14:paraId="5580AD9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4748</w:t>
            </w:r>
          </w:p>
        </w:tc>
        <w:tc>
          <w:tcPr>
            <w:tcW w:w="892" w:type="dxa"/>
            <w:tcBorders>
              <w:top w:val="single" w:sz="4" w:space="0" w:color="auto"/>
              <w:left w:val="single" w:sz="4" w:space="0" w:color="auto"/>
              <w:bottom w:val="single" w:sz="4" w:space="0" w:color="auto"/>
              <w:right w:val="single" w:sz="4" w:space="0" w:color="auto"/>
            </w:tcBorders>
            <w:hideMark/>
          </w:tcPr>
          <w:p w14:paraId="44902098"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1101</w:t>
            </w:r>
          </w:p>
        </w:tc>
      </w:tr>
      <w:tr w:rsidR="00FC0A22" w14:paraId="0A2988E0"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5D289433"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78CA43C9"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101%</w:t>
            </w:r>
          </w:p>
        </w:tc>
        <w:tc>
          <w:tcPr>
            <w:tcW w:w="893" w:type="dxa"/>
            <w:tcBorders>
              <w:top w:val="single" w:sz="4" w:space="0" w:color="auto"/>
              <w:left w:val="single" w:sz="4" w:space="0" w:color="auto"/>
              <w:bottom w:val="single" w:sz="4" w:space="0" w:color="auto"/>
              <w:right w:val="single" w:sz="4" w:space="0" w:color="auto"/>
            </w:tcBorders>
            <w:hideMark/>
          </w:tcPr>
          <w:p w14:paraId="02977F5E"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89%</w:t>
            </w:r>
          </w:p>
        </w:tc>
        <w:tc>
          <w:tcPr>
            <w:tcW w:w="892" w:type="dxa"/>
            <w:tcBorders>
              <w:top w:val="single" w:sz="4" w:space="0" w:color="auto"/>
              <w:left w:val="single" w:sz="4" w:space="0" w:color="auto"/>
              <w:bottom w:val="single" w:sz="4" w:space="0" w:color="auto"/>
              <w:right w:val="single" w:sz="4" w:space="0" w:color="auto"/>
            </w:tcBorders>
            <w:hideMark/>
          </w:tcPr>
          <w:p w14:paraId="08FDEAAE"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104</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1020CB2A"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100</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551ECC56"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103%</w:t>
            </w:r>
          </w:p>
        </w:tc>
        <w:tc>
          <w:tcPr>
            <w:tcW w:w="892" w:type="dxa"/>
            <w:tcBorders>
              <w:top w:val="single" w:sz="4" w:space="0" w:color="auto"/>
              <w:left w:val="single" w:sz="4" w:space="0" w:color="auto"/>
              <w:bottom w:val="single" w:sz="4" w:space="0" w:color="auto"/>
              <w:right w:val="single" w:sz="4" w:space="0" w:color="auto"/>
            </w:tcBorders>
            <w:hideMark/>
          </w:tcPr>
          <w:p w14:paraId="1991D1C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97%</w:t>
            </w:r>
          </w:p>
        </w:tc>
      </w:tr>
      <w:tr w:rsidR="00FC0A22" w14:paraId="02A9A3D5"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7674BB16"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социальная политика,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3" w:type="dxa"/>
            <w:tcBorders>
              <w:top w:val="single" w:sz="4" w:space="0" w:color="auto"/>
              <w:left w:val="single" w:sz="4" w:space="0" w:color="auto"/>
              <w:bottom w:val="single" w:sz="4" w:space="0" w:color="auto"/>
              <w:right w:val="single" w:sz="4" w:space="0" w:color="auto"/>
            </w:tcBorders>
            <w:hideMark/>
          </w:tcPr>
          <w:p w14:paraId="773A204B"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14822</w:t>
            </w:r>
          </w:p>
        </w:tc>
        <w:tc>
          <w:tcPr>
            <w:tcW w:w="893" w:type="dxa"/>
            <w:tcBorders>
              <w:top w:val="single" w:sz="4" w:space="0" w:color="auto"/>
              <w:left w:val="single" w:sz="4" w:space="0" w:color="auto"/>
              <w:bottom w:val="single" w:sz="4" w:space="0" w:color="auto"/>
              <w:right w:val="single" w:sz="4" w:space="0" w:color="auto"/>
            </w:tcBorders>
            <w:hideMark/>
          </w:tcPr>
          <w:p w14:paraId="0BF5CD4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5595</w:t>
            </w:r>
          </w:p>
        </w:tc>
        <w:tc>
          <w:tcPr>
            <w:tcW w:w="892" w:type="dxa"/>
            <w:tcBorders>
              <w:top w:val="single" w:sz="4" w:space="0" w:color="auto"/>
              <w:left w:val="single" w:sz="4" w:space="0" w:color="auto"/>
              <w:bottom w:val="single" w:sz="4" w:space="0" w:color="auto"/>
              <w:right w:val="single" w:sz="4" w:space="0" w:color="auto"/>
            </w:tcBorders>
            <w:hideMark/>
          </w:tcPr>
          <w:p w14:paraId="6FD0727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15090</w:t>
            </w:r>
          </w:p>
        </w:tc>
        <w:tc>
          <w:tcPr>
            <w:tcW w:w="892" w:type="dxa"/>
            <w:tcBorders>
              <w:top w:val="single" w:sz="4" w:space="0" w:color="auto"/>
              <w:left w:val="single" w:sz="4" w:space="0" w:color="auto"/>
              <w:bottom w:val="single" w:sz="4" w:space="0" w:color="auto"/>
              <w:right w:val="single" w:sz="4" w:space="0" w:color="auto"/>
            </w:tcBorders>
            <w:hideMark/>
          </w:tcPr>
          <w:p w14:paraId="2AC3DAA8" w14:textId="77777777" w:rsidR="00FC0A22" w:rsidRDefault="00FC0A22">
            <w:pPr>
              <w:spacing w:line="240" w:lineRule="auto"/>
              <w:jc w:val="center"/>
              <w:rPr>
                <w:rFonts w:ascii="Times New Roman" w:hAnsi="Times New Roman" w:cs="Times New Roman"/>
                <w:sz w:val="20"/>
                <w:szCs w:val="20"/>
                <w:lang w:val="en-GB" w:eastAsia="ru-RU"/>
              </w:rPr>
            </w:pPr>
            <w:r>
              <w:rPr>
                <w:rFonts w:ascii="Times New Roman" w:hAnsi="Times New Roman" w:cs="Times New Roman"/>
                <w:sz w:val="20"/>
                <w:szCs w:val="20"/>
                <w:lang w:val="en-GB" w:eastAsia="ru-RU"/>
              </w:rPr>
              <w:t>5762</w:t>
            </w:r>
          </w:p>
        </w:tc>
        <w:tc>
          <w:tcPr>
            <w:tcW w:w="892" w:type="dxa"/>
            <w:tcBorders>
              <w:top w:val="single" w:sz="4" w:space="0" w:color="auto"/>
              <w:left w:val="single" w:sz="4" w:space="0" w:color="auto"/>
              <w:bottom w:val="single" w:sz="4" w:space="0" w:color="auto"/>
              <w:right w:val="single" w:sz="4" w:space="0" w:color="auto"/>
            </w:tcBorders>
            <w:hideMark/>
          </w:tcPr>
          <w:p w14:paraId="36A82517"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15841</w:t>
            </w:r>
          </w:p>
        </w:tc>
        <w:tc>
          <w:tcPr>
            <w:tcW w:w="892" w:type="dxa"/>
            <w:tcBorders>
              <w:top w:val="single" w:sz="4" w:space="0" w:color="auto"/>
              <w:left w:val="single" w:sz="4" w:space="0" w:color="auto"/>
              <w:bottom w:val="single" w:sz="4" w:space="0" w:color="auto"/>
              <w:right w:val="single" w:sz="4" w:space="0" w:color="auto"/>
            </w:tcBorders>
            <w:hideMark/>
          </w:tcPr>
          <w:p w14:paraId="6BA3B6D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6074</w:t>
            </w:r>
          </w:p>
        </w:tc>
      </w:tr>
      <w:tr w:rsidR="00FC0A22" w14:paraId="53C46AE1"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40FEDA80"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0C113C38"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103%</w:t>
            </w:r>
          </w:p>
        </w:tc>
        <w:tc>
          <w:tcPr>
            <w:tcW w:w="893" w:type="dxa"/>
            <w:tcBorders>
              <w:top w:val="single" w:sz="4" w:space="0" w:color="auto"/>
              <w:left w:val="single" w:sz="4" w:space="0" w:color="auto"/>
              <w:bottom w:val="single" w:sz="4" w:space="0" w:color="auto"/>
              <w:right w:val="single" w:sz="4" w:space="0" w:color="auto"/>
            </w:tcBorders>
            <w:hideMark/>
          </w:tcPr>
          <w:p w14:paraId="0C3FE10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97%</w:t>
            </w:r>
          </w:p>
        </w:tc>
        <w:tc>
          <w:tcPr>
            <w:tcW w:w="892" w:type="dxa"/>
            <w:tcBorders>
              <w:top w:val="single" w:sz="4" w:space="0" w:color="auto"/>
              <w:left w:val="single" w:sz="4" w:space="0" w:color="auto"/>
              <w:bottom w:val="single" w:sz="4" w:space="0" w:color="auto"/>
              <w:right w:val="single" w:sz="4" w:space="0" w:color="auto"/>
            </w:tcBorders>
            <w:hideMark/>
          </w:tcPr>
          <w:p w14:paraId="09A965C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102</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42B128C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103</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2177273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105%</w:t>
            </w:r>
          </w:p>
        </w:tc>
        <w:tc>
          <w:tcPr>
            <w:tcW w:w="892" w:type="dxa"/>
            <w:tcBorders>
              <w:top w:val="single" w:sz="4" w:space="0" w:color="auto"/>
              <w:left w:val="single" w:sz="4" w:space="0" w:color="auto"/>
              <w:bottom w:val="single" w:sz="4" w:space="0" w:color="auto"/>
              <w:right w:val="single" w:sz="4" w:space="0" w:color="auto"/>
            </w:tcBorders>
            <w:hideMark/>
          </w:tcPr>
          <w:p w14:paraId="7327AA7D"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105%</w:t>
            </w:r>
          </w:p>
        </w:tc>
      </w:tr>
      <w:tr w:rsidR="00FC0A22" w14:paraId="15867FB5"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3145221D"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xml:space="preserve">физкультура и спорт, </w:t>
            </w:r>
            <w:proofErr w:type="spellStart"/>
            <w:r>
              <w:rPr>
                <w:rFonts w:ascii="Times New Roman" w:hAnsi="Times New Roman" w:cs="Times New Roman"/>
                <w:sz w:val="20"/>
                <w:szCs w:val="20"/>
                <w:lang w:eastAsia="ru-RU"/>
              </w:rPr>
              <w:t>млрд.руб</w:t>
            </w:r>
            <w:proofErr w:type="spellEnd"/>
            <w:r>
              <w:rPr>
                <w:rFonts w:ascii="Times New Roman" w:hAnsi="Times New Roman" w:cs="Times New Roman"/>
                <w:sz w:val="20"/>
                <w:szCs w:val="20"/>
                <w:lang w:eastAsia="ru-RU"/>
              </w:rPr>
              <w:t xml:space="preserve">. </w:t>
            </w:r>
          </w:p>
        </w:tc>
        <w:tc>
          <w:tcPr>
            <w:tcW w:w="893" w:type="dxa"/>
            <w:tcBorders>
              <w:top w:val="single" w:sz="4" w:space="0" w:color="auto"/>
              <w:left w:val="single" w:sz="4" w:space="0" w:color="auto"/>
              <w:bottom w:val="single" w:sz="4" w:space="0" w:color="auto"/>
              <w:right w:val="single" w:sz="4" w:space="0" w:color="auto"/>
            </w:tcBorders>
            <w:hideMark/>
          </w:tcPr>
          <w:p w14:paraId="443A8D59"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371</w:t>
            </w:r>
          </w:p>
        </w:tc>
        <w:tc>
          <w:tcPr>
            <w:tcW w:w="893" w:type="dxa"/>
            <w:tcBorders>
              <w:top w:val="single" w:sz="4" w:space="0" w:color="auto"/>
              <w:left w:val="single" w:sz="4" w:space="0" w:color="auto"/>
              <w:bottom w:val="single" w:sz="4" w:space="0" w:color="auto"/>
              <w:right w:val="single" w:sz="4" w:space="0" w:color="auto"/>
            </w:tcBorders>
            <w:hideMark/>
          </w:tcPr>
          <w:p w14:paraId="154D6EDE"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65</w:t>
            </w:r>
          </w:p>
        </w:tc>
        <w:tc>
          <w:tcPr>
            <w:tcW w:w="892" w:type="dxa"/>
            <w:tcBorders>
              <w:top w:val="single" w:sz="4" w:space="0" w:color="auto"/>
              <w:left w:val="single" w:sz="4" w:space="0" w:color="auto"/>
              <w:bottom w:val="single" w:sz="4" w:space="0" w:color="auto"/>
              <w:right w:val="single" w:sz="4" w:space="0" w:color="auto"/>
            </w:tcBorders>
            <w:hideMark/>
          </w:tcPr>
          <w:p w14:paraId="56A304D4"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381</w:t>
            </w:r>
          </w:p>
        </w:tc>
        <w:tc>
          <w:tcPr>
            <w:tcW w:w="892" w:type="dxa"/>
            <w:tcBorders>
              <w:top w:val="single" w:sz="4" w:space="0" w:color="auto"/>
              <w:left w:val="single" w:sz="4" w:space="0" w:color="auto"/>
              <w:bottom w:val="single" w:sz="4" w:space="0" w:color="auto"/>
              <w:right w:val="single" w:sz="4" w:space="0" w:color="auto"/>
            </w:tcBorders>
            <w:hideMark/>
          </w:tcPr>
          <w:p w14:paraId="46FD0C1C" w14:textId="77777777" w:rsidR="00FC0A22" w:rsidRDefault="00FC0A22">
            <w:pPr>
              <w:spacing w:line="240" w:lineRule="auto"/>
              <w:jc w:val="center"/>
              <w:rPr>
                <w:rFonts w:ascii="Times New Roman" w:hAnsi="Times New Roman" w:cs="Times New Roman"/>
                <w:sz w:val="20"/>
                <w:szCs w:val="20"/>
                <w:lang w:val="en-GB" w:eastAsia="ru-RU"/>
              </w:rPr>
            </w:pPr>
            <w:r>
              <w:rPr>
                <w:rFonts w:ascii="Times New Roman" w:hAnsi="Times New Roman" w:cs="Times New Roman"/>
                <w:sz w:val="20"/>
                <w:szCs w:val="20"/>
                <w:lang w:val="en-GB" w:eastAsia="ru-RU"/>
              </w:rPr>
              <w:t>64</w:t>
            </w:r>
          </w:p>
        </w:tc>
        <w:tc>
          <w:tcPr>
            <w:tcW w:w="892" w:type="dxa"/>
            <w:tcBorders>
              <w:top w:val="single" w:sz="4" w:space="0" w:color="auto"/>
              <w:left w:val="single" w:sz="4" w:space="0" w:color="auto"/>
              <w:bottom w:val="single" w:sz="4" w:space="0" w:color="auto"/>
              <w:right w:val="single" w:sz="4" w:space="0" w:color="auto"/>
            </w:tcBorders>
            <w:hideMark/>
          </w:tcPr>
          <w:p w14:paraId="74C678DE"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383</w:t>
            </w:r>
          </w:p>
        </w:tc>
        <w:tc>
          <w:tcPr>
            <w:tcW w:w="892" w:type="dxa"/>
            <w:tcBorders>
              <w:top w:val="single" w:sz="4" w:space="0" w:color="auto"/>
              <w:left w:val="single" w:sz="4" w:space="0" w:color="auto"/>
              <w:bottom w:val="single" w:sz="4" w:space="0" w:color="auto"/>
              <w:right w:val="single" w:sz="4" w:space="0" w:color="auto"/>
            </w:tcBorders>
            <w:hideMark/>
          </w:tcPr>
          <w:p w14:paraId="7D17CFA9"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54</w:t>
            </w:r>
          </w:p>
        </w:tc>
      </w:tr>
      <w:tr w:rsidR="00FC0A22" w14:paraId="435DE402" w14:textId="77777777" w:rsidTr="00FC0A22">
        <w:tc>
          <w:tcPr>
            <w:tcW w:w="3991" w:type="dxa"/>
            <w:tcBorders>
              <w:top w:val="single" w:sz="4" w:space="0" w:color="auto"/>
              <w:left w:val="single" w:sz="4" w:space="0" w:color="auto"/>
              <w:bottom w:val="single" w:sz="4" w:space="0" w:color="auto"/>
              <w:right w:val="single" w:sz="4" w:space="0" w:color="auto"/>
            </w:tcBorders>
            <w:hideMark/>
          </w:tcPr>
          <w:p w14:paraId="63DDF93A" w14:textId="77777777" w:rsidR="00FC0A22" w:rsidRDefault="00FC0A22">
            <w:pPr>
              <w:spacing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 к прошлому году</w:t>
            </w:r>
          </w:p>
        </w:tc>
        <w:tc>
          <w:tcPr>
            <w:tcW w:w="893" w:type="dxa"/>
            <w:tcBorders>
              <w:top w:val="single" w:sz="4" w:space="0" w:color="auto"/>
              <w:left w:val="single" w:sz="4" w:space="0" w:color="auto"/>
              <w:bottom w:val="single" w:sz="4" w:space="0" w:color="auto"/>
              <w:right w:val="single" w:sz="4" w:space="0" w:color="auto"/>
            </w:tcBorders>
            <w:hideMark/>
          </w:tcPr>
          <w:p w14:paraId="55AF01EE"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100%</w:t>
            </w:r>
          </w:p>
        </w:tc>
        <w:tc>
          <w:tcPr>
            <w:tcW w:w="893" w:type="dxa"/>
            <w:tcBorders>
              <w:top w:val="single" w:sz="4" w:space="0" w:color="auto"/>
              <w:left w:val="single" w:sz="4" w:space="0" w:color="auto"/>
              <w:bottom w:val="single" w:sz="4" w:space="0" w:color="auto"/>
              <w:right w:val="single" w:sz="4" w:space="0" w:color="auto"/>
            </w:tcBorders>
            <w:hideMark/>
          </w:tcPr>
          <w:p w14:paraId="35E9FBD3"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88%</w:t>
            </w:r>
          </w:p>
        </w:tc>
        <w:tc>
          <w:tcPr>
            <w:tcW w:w="892" w:type="dxa"/>
            <w:tcBorders>
              <w:top w:val="single" w:sz="4" w:space="0" w:color="auto"/>
              <w:left w:val="single" w:sz="4" w:space="0" w:color="auto"/>
              <w:bottom w:val="single" w:sz="4" w:space="0" w:color="auto"/>
              <w:right w:val="single" w:sz="4" w:space="0" w:color="auto"/>
            </w:tcBorders>
            <w:hideMark/>
          </w:tcPr>
          <w:p w14:paraId="6C6EAADC"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103</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6C9DB8A0"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val="en-GB" w:eastAsia="ru-RU"/>
              </w:rPr>
              <w:t>98</w:t>
            </w:r>
            <w:r>
              <w:rPr>
                <w:rFonts w:ascii="Times New Roman" w:hAnsi="Times New Roman" w:cs="Times New Roman"/>
                <w:sz w:val="20"/>
                <w:szCs w:val="20"/>
                <w:lang w:eastAsia="ru-RU"/>
              </w:rPr>
              <w:t>%</w:t>
            </w:r>
          </w:p>
        </w:tc>
        <w:tc>
          <w:tcPr>
            <w:tcW w:w="892" w:type="dxa"/>
            <w:tcBorders>
              <w:top w:val="single" w:sz="4" w:space="0" w:color="auto"/>
              <w:left w:val="single" w:sz="4" w:space="0" w:color="auto"/>
              <w:bottom w:val="single" w:sz="4" w:space="0" w:color="auto"/>
              <w:right w:val="single" w:sz="4" w:space="0" w:color="auto"/>
            </w:tcBorders>
            <w:hideMark/>
          </w:tcPr>
          <w:p w14:paraId="79C0B1F5"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101%</w:t>
            </w:r>
          </w:p>
        </w:tc>
        <w:tc>
          <w:tcPr>
            <w:tcW w:w="892" w:type="dxa"/>
            <w:tcBorders>
              <w:top w:val="single" w:sz="4" w:space="0" w:color="auto"/>
              <w:left w:val="single" w:sz="4" w:space="0" w:color="auto"/>
              <w:bottom w:val="single" w:sz="4" w:space="0" w:color="auto"/>
              <w:right w:val="single" w:sz="4" w:space="0" w:color="auto"/>
            </w:tcBorders>
            <w:hideMark/>
          </w:tcPr>
          <w:p w14:paraId="7077EA21" w14:textId="77777777" w:rsidR="00FC0A22" w:rsidRDefault="00FC0A22">
            <w:pPr>
              <w:spacing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84%</w:t>
            </w:r>
          </w:p>
        </w:tc>
      </w:tr>
    </w:tbl>
    <w:p w14:paraId="0400E97C" w14:textId="77777777" w:rsidR="00FC0A22" w:rsidRDefault="00FC0A22" w:rsidP="00FC0A22">
      <w:pPr>
        <w:spacing w:line="360" w:lineRule="auto"/>
        <w:ind w:left="567"/>
        <w:jc w:val="both"/>
        <w:rPr>
          <w:rFonts w:ascii="Times New Roman" w:hAnsi="Times New Roman" w:cs="Times New Roman"/>
          <w:sz w:val="24"/>
          <w:szCs w:val="24"/>
        </w:rPr>
      </w:pPr>
    </w:p>
    <w:p w14:paraId="3209FBD6" w14:textId="4BC4337D" w:rsidR="00FC0A22" w:rsidRDefault="00FC0A22" w:rsidP="00FC0A22">
      <w:pPr>
        <w:shd w:val="clear" w:color="auto" w:fill="FFFFFF"/>
        <w:spacing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целом,</w:t>
      </w:r>
      <w:proofErr w:type="gramEnd"/>
      <w:r>
        <w:rPr>
          <w:rFonts w:ascii="Times New Roman" w:hAnsi="Times New Roman" w:cs="Times New Roman"/>
          <w:sz w:val="28"/>
          <w:szCs w:val="28"/>
        </w:rPr>
        <w:t xml:space="preserve"> роль государства в перераспределении национального дохода в пользу населения нельзя недооценивать. При этом только экономический рост может обеспечить генерацию необходимых для этого бюджетных ресурсов. </w:t>
      </w:r>
    </w:p>
    <w:p w14:paraId="440F06A6" w14:textId="77777777" w:rsidR="00FC0A22" w:rsidRDefault="00FC0A22" w:rsidP="00FC0A22">
      <w:pPr>
        <w:pStyle w:val="afc"/>
        <w:spacing w:before="120"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краткосрочной перспективе действенной мерой могло бы стать смягчение бюджетной политики. Отказ от консолидации в 2021 г. и поддержание расходов бюджета на одном уровне в реальном выражении в </w:t>
      </w:r>
      <w:proofErr w:type="gramStart"/>
      <w:r>
        <w:rPr>
          <w:rFonts w:ascii="Times New Roman" w:hAnsi="Times New Roman" w:cs="Times New Roman"/>
          <w:sz w:val="28"/>
          <w:szCs w:val="28"/>
        </w:rPr>
        <w:t>2022-2023</w:t>
      </w:r>
      <w:proofErr w:type="gramEnd"/>
      <w:r>
        <w:rPr>
          <w:rFonts w:ascii="Times New Roman" w:hAnsi="Times New Roman" w:cs="Times New Roman"/>
          <w:sz w:val="28"/>
          <w:szCs w:val="28"/>
        </w:rPr>
        <w:t xml:space="preserve"> гг. позволило бы получить заметное ускорение экономического роста и повышение уровня жизни (см. таблицу 4.5). </w:t>
      </w:r>
    </w:p>
    <w:p w14:paraId="0F7EFA34" w14:textId="77777777" w:rsidR="00FC0A22" w:rsidRDefault="00FC0A22" w:rsidP="00FC0A22">
      <w:pPr>
        <w:spacing w:line="360" w:lineRule="auto"/>
        <w:ind w:left="567"/>
        <w:jc w:val="both"/>
        <w:rPr>
          <w:rFonts w:ascii="Times New Roman" w:hAnsi="Times New Roman" w:cs="Times New Roman"/>
          <w:sz w:val="28"/>
          <w:szCs w:val="28"/>
        </w:rPr>
      </w:pPr>
      <w:r>
        <w:rPr>
          <w:rFonts w:ascii="Times New Roman" w:hAnsi="Times New Roman" w:cs="Times New Roman"/>
          <w:sz w:val="28"/>
          <w:szCs w:val="28"/>
        </w:rPr>
        <w:t>Таблица 4.5. Изменение макроэкономических показателей при смягчении бюджетной политики (относительно закона о федеральном бюджете)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189"/>
        <w:gridCol w:w="1189"/>
        <w:gridCol w:w="1189"/>
      </w:tblGrid>
      <w:tr w:rsidR="00FC0A22" w14:paraId="3EC1E7A8" w14:textId="77777777" w:rsidTr="00FC0A22">
        <w:tc>
          <w:tcPr>
            <w:tcW w:w="5784" w:type="dxa"/>
            <w:tcBorders>
              <w:top w:val="single" w:sz="4" w:space="0" w:color="auto"/>
              <w:left w:val="single" w:sz="4" w:space="0" w:color="auto"/>
              <w:bottom w:val="single" w:sz="4" w:space="0" w:color="auto"/>
              <w:right w:val="single" w:sz="4" w:space="0" w:color="auto"/>
            </w:tcBorders>
          </w:tcPr>
          <w:p w14:paraId="155165F3" w14:textId="77777777" w:rsidR="00FC0A22" w:rsidRDefault="00FC0A22">
            <w:pPr>
              <w:pStyle w:val="afc"/>
              <w:spacing w:before="120" w:after="0"/>
              <w:rPr>
                <w:rFonts w:ascii="Times New Roman" w:hAnsi="Times New Roman" w:cs="Times New Roman"/>
                <w:sz w:val="24"/>
                <w:szCs w:val="24"/>
              </w:rPr>
            </w:pPr>
          </w:p>
        </w:tc>
        <w:tc>
          <w:tcPr>
            <w:tcW w:w="1189" w:type="dxa"/>
            <w:tcBorders>
              <w:top w:val="single" w:sz="4" w:space="0" w:color="auto"/>
              <w:left w:val="single" w:sz="4" w:space="0" w:color="auto"/>
              <w:bottom w:val="single" w:sz="4" w:space="0" w:color="auto"/>
              <w:right w:val="single" w:sz="4" w:space="0" w:color="auto"/>
            </w:tcBorders>
            <w:vAlign w:val="center"/>
            <w:hideMark/>
          </w:tcPr>
          <w:p w14:paraId="6EC0D292" w14:textId="77777777" w:rsidR="00FC0A22" w:rsidRDefault="00FC0A22">
            <w:pPr>
              <w:pStyle w:val="afc"/>
              <w:spacing w:before="120" w:after="0"/>
              <w:jc w:val="center"/>
              <w:rPr>
                <w:rFonts w:ascii="Times New Roman" w:hAnsi="Times New Roman" w:cs="Times New Roman"/>
                <w:sz w:val="24"/>
                <w:szCs w:val="24"/>
              </w:rPr>
            </w:pPr>
            <w:r>
              <w:rPr>
                <w:rFonts w:ascii="Times New Roman" w:hAnsi="Times New Roman" w:cs="Times New Roman"/>
                <w:sz w:val="24"/>
                <w:szCs w:val="24"/>
              </w:rPr>
              <w:t>2021</w:t>
            </w:r>
          </w:p>
        </w:tc>
        <w:tc>
          <w:tcPr>
            <w:tcW w:w="1189" w:type="dxa"/>
            <w:tcBorders>
              <w:top w:val="single" w:sz="4" w:space="0" w:color="auto"/>
              <w:left w:val="single" w:sz="4" w:space="0" w:color="auto"/>
              <w:bottom w:val="single" w:sz="4" w:space="0" w:color="auto"/>
              <w:right w:val="single" w:sz="4" w:space="0" w:color="auto"/>
            </w:tcBorders>
            <w:vAlign w:val="center"/>
            <w:hideMark/>
          </w:tcPr>
          <w:p w14:paraId="765B2D30" w14:textId="77777777" w:rsidR="00FC0A22" w:rsidRDefault="00FC0A22">
            <w:pPr>
              <w:pStyle w:val="afc"/>
              <w:spacing w:before="120" w:after="0"/>
              <w:jc w:val="center"/>
              <w:rPr>
                <w:rFonts w:ascii="Times New Roman" w:hAnsi="Times New Roman" w:cs="Times New Roman"/>
                <w:sz w:val="24"/>
                <w:szCs w:val="24"/>
              </w:rPr>
            </w:pPr>
            <w:r>
              <w:rPr>
                <w:rFonts w:ascii="Times New Roman" w:hAnsi="Times New Roman" w:cs="Times New Roman"/>
                <w:sz w:val="24"/>
                <w:szCs w:val="24"/>
              </w:rPr>
              <w:t>2022</w:t>
            </w:r>
          </w:p>
        </w:tc>
        <w:tc>
          <w:tcPr>
            <w:tcW w:w="1189" w:type="dxa"/>
            <w:tcBorders>
              <w:top w:val="single" w:sz="4" w:space="0" w:color="auto"/>
              <w:left w:val="single" w:sz="4" w:space="0" w:color="auto"/>
              <w:bottom w:val="single" w:sz="4" w:space="0" w:color="auto"/>
              <w:right w:val="single" w:sz="4" w:space="0" w:color="auto"/>
            </w:tcBorders>
            <w:vAlign w:val="center"/>
            <w:hideMark/>
          </w:tcPr>
          <w:p w14:paraId="22E177E9" w14:textId="77777777" w:rsidR="00FC0A22" w:rsidRDefault="00FC0A22">
            <w:pPr>
              <w:pStyle w:val="afc"/>
              <w:spacing w:before="120" w:after="0"/>
              <w:jc w:val="center"/>
              <w:rPr>
                <w:rFonts w:ascii="Times New Roman" w:hAnsi="Times New Roman" w:cs="Times New Roman"/>
                <w:sz w:val="24"/>
                <w:szCs w:val="24"/>
              </w:rPr>
            </w:pPr>
            <w:r>
              <w:rPr>
                <w:rFonts w:ascii="Times New Roman" w:hAnsi="Times New Roman" w:cs="Times New Roman"/>
                <w:sz w:val="24"/>
                <w:szCs w:val="24"/>
              </w:rPr>
              <w:t>2023</w:t>
            </w:r>
          </w:p>
        </w:tc>
      </w:tr>
      <w:tr w:rsidR="00FC0A22" w14:paraId="21D56E8E"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2FE0F2D8"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ВВП,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63D12800"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+0.7 </w:t>
            </w:r>
            <w:proofErr w:type="spellStart"/>
            <w:proofErr w:type="gramStart"/>
            <w:r>
              <w:rPr>
                <w:rFonts w:ascii="Times New Roman" w:hAnsi="Times New Roman" w:cs="Times New Roman"/>
                <w:sz w:val="24"/>
                <w:szCs w:val="24"/>
              </w:rPr>
              <w:t>п.п</w:t>
            </w:r>
            <w:proofErr w:type="spellEnd"/>
            <w:proofErr w:type="gramEnd"/>
          </w:p>
        </w:tc>
        <w:tc>
          <w:tcPr>
            <w:tcW w:w="1189" w:type="dxa"/>
            <w:tcBorders>
              <w:top w:val="single" w:sz="4" w:space="0" w:color="auto"/>
              <w:left w:val="single" w:sz="4" w:space="0" w:color="auto"/>
              <w:bottom w:val="single" w:sz="4" w:space="0" w:color="auto"/>
              <w:right w:val="single" w:sz="4" w:space="0" w:color="auto"/>
            </w:tcBorders>
            <w:hideMark/>
          </w:tcPr>
          <w:p w14:paraId="69F8788A"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+0.3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7C353F97"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r>
      <w:tr w:rsidR="00FC0A22" w14:paraId="638F38BE"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13FF0A3E"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ПДХ,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3A389908"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+0.5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28539DB3"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+0.3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2AD5B50B"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+0.1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r>
      <w:tr w:rsidR="00FC0A22" w14:paraId="18E7E93B"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0880B163" w14:textId="77777777" w:rsidR="00FC0A22" w:rsidRDefault="00FC0A22">
            <w:pPr>
              <w:pStyle w:val="afc"/>
              <w:spacing w:before="120" w:after="0"/>
              <w:rPr>
                <w:rFonts w:ascii="Times New Roman" w:hAnsi="Times New Roman" w:cs="Times New Roman"/>
                <w:sz w:val="24"/>
                <w:szCs w:val="24"/>
              </w:rPr>
            </w:pPr>
            <w:proofErr w:type="spellStart"/>
            <w:r>
              <w:rPr>
                <w:rFonts w:ascii="Times New Roman" w:hAnsi="Times New Roman" w:cs="Times New Roman"/>
                <w:sz w:val="24"/>
                <w:szCs w:val="24"/>
              </w:rPr>
              <w:t>Госпотребление</w:t>
            </w:r>
            <w:proofErr w:type="spellEnd"/>
            <w:r>
              <w:rPr>
                <w:rFonts w:ascii="Times New Roman" w:hAnsi="Times New Roman" w:cs="Times New Roman"/>
                <w:sz w:val="24"/>
                <w:szCs w:val="24"/>
              </w:rPr>
              <w:t>,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4C21C6B5"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46D0D9E2"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+0.4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55437B8E"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+0.5 </w:t>
            </w:r>
            <w:proofErr w:type="spellStart"/>
            <w:proofErr w:type="gramStart"/>
            <w:r>
              <w:rPr>
                <w:rFonts w:ascii="Times New Roman" w:hAnsi="Times New Roman" w:cs="Times New Roman"/>
                <w:sz w:val="24"/>
                <w:szCs w:val="24"/>
              </w:rPr>
              <w:t>п.п</w:t>
            </w:r>
            <w:proofErr w:type="spellEnd"/>
            <w:proofErr w:type="gramEnd"/>
          </w:p>
        </w:tc>
      </w:tr>
      <w:tr w:rsidR="00FC0A22" w14:paraId="1C5677F3"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13EB2C77"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Инвестиции,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40159544"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+0.7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170C28D9"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+0.4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4887C9D3"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+0.3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r>
      <w:tr w:rsidR="00FC0A22" w14:paraId="79AB5393"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3C446604"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т.ч.</w:t>
            </w:r>
            <w:proofErr w:type="gramEnd"/>
            <w:r>
              <w:rPr>
                <w:rFonts w:ascii="Times New Roman" w:hAnsi="Times New Roman" w:cs="Times New Roman"/>
                <w:sz w:val="24"/>
                <w:szCs w:val="24"/>
              </w:rPr>
              <w:t xml:space="preserve"> государственные инвестиции,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270A7EE5"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+1.1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58B2F00E"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+1.0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63B03342"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+0.9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r>
      <w:tr w:rsidR="00FC0A22" w14:paraId="587FF343"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3CB21E1F"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Реальные доходы населения, годовой прирост</w:t>
            </w:r>
          </w:p>
        </w:tc>
        <w:tc>
          <w:tcPr>
            <w:tcW w:w="1189" w:type="dxa"/>
            <w:tcBorders>
              <w:top w:val="single" w:sz="4" w:space="0" w:color="auto"/>
              <w:left w:val="single" w:sz="4" w:space="0" w:color="auto"/>
              <w:bottom w:val="single" w:sz="4" w:space="0" w:color="auto"/>
              <w:right w:val="single" w:sz="4" w:space="0" w:color="auto"/>
            </w:tcBorders>
            <w:hideMark/>
          </w:tcPr>
          <w:p w14:paraId="183A5E83"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+0.5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12487380"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+0.3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c>
          <w:tcPr>
            <w:tcW w:w="1189" w:type="dxa"/>
            <w:tcBorders>
              <w:top w:val="single" w:sz="4" w:space="0" w:color="auto"/>
              <w:left w:val="single" w:sz="4" w:space="0" w:color="auto"/>
              <w:bottom w:val="single" w:sz="4" w:space="0" w:color="auto"/>
              <w:right w:val="single" w:sz="4" w:space="0" w:color="auto"/>
            </w:tcBorders>
            <w:hideMark/>
          </w:tcPr>
          <w:p w14:paraId="0083B9EA"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п.п</w:t>
            </w:r>
            <w:proofErr w:type="spellEnd"/>
            <w:r>
              <w:rPr>
                <w:rFonts w:ascii="Times New Roman" w:hAnsi="Times New Roman" w:cs="Times New Roman"/>
                <w:sz w:val="24"/>
                <w:szCs w:val="24"/>
              </w:rPr>
              <w:t>.</w:t>
            </w:r>
          </w:p>
        </w:tc>
      </w:tr>
      <w:tr w:rsidR="00FC0A22" w14:paraId="54C93AAA" w14:textId="77777777" w:rsidTr="00FC0A22">
        <w:tc>
          <w:tcPr>
            <w:tcW w:w="5784" w:type="dxa"/>
            <w:tcBorders>
              <w:top w:val="single" w:sz="4" w:space="0" w:color="auto"/>
              <w:left w:val="single" w:sz="4" w:space="0" w:color="auto"/>
              <w:bottom w:val="single" w:sz="4" w:space="0" w:color="auto"/>
              <w:right w:val="single" w:sz="4" w:space="0" w:color="auto"/>
            </w:tcBorders>
            <w:hideMark/>
          </w:tcPr>
          <w:p w14:paraId="3FA44674" w14:textId="77777777" w:rsidR="00FC0A22" w:rsidRDefault="00FC0A22">
            <w:pPr>
              <w:pStyle w:val="afc"/>
              <w:spacing w:before="120" w:after="0"/>
              <w:rPr>
                <w:rFonts w:ascii="Times New Roman" w:hAnsi="Times New Roman" w:cs="Times New Roman"/>
                <w:sz w:val="24"/>
                <w:szCs w:val="24"/>
              </w:rPr>
            </w:pPr>
            <w:r>
              <w:rPr>
                <w:rFonts w:ascii="Times New Roman" w:hAnsi="Times New Roman" w:cs="Times New Roman"/>
                <w:sz w:val="24"/>
                <w:szCs w:val="24"/>
              </w:rPr>
              <w:t>Численность безработного населения, млн. чел.</w:t>
            </w:r>
          </w:p>
        </w:tc>
        <w:tc>
          <w:tcPr>
            <w:tcW w:w="1189" w:type="dxa"/>
            <w:tcBorders>
              <w:top w:val="single" w:sz="4" w:space="0" w:color="auto"/>
              <w:left w:val="single" w:sz="4" w:space="0" w:color="auto"/>
              <w:bottom w:val="single" w:sz="4" w:space="0" w:color="auto"/>
              <w:right w:val="single" w:sz="4" w:space="0" w:color="auto"/>
            </w:tcBorders>
            <w:hideMark/>
          </w:tcPr>
          <w:p w14:paraId="1C2FB1C6"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-0.1</w:t>
            </w:r>
          </w:p>
        </w:tc>
        <w:tc>
          <w:tcPr>
            <w:tcW w:w="1189" w:type="dxa"/>
            <w:tcBorders>
              <w:top w:val="single" w:sz="4" w:space="0" w:color="auto"/>
              <w:left w:val="single" w:sz="4" w:space="0" w:color="auto"/>
              <w:bottom w:val="single" w:sz="4" w:space="0" w:color="auto"/>
              <w:right w:val="single" w:sz="4" w:space="0" w:color="auto"/>
            </w:tcBorders>
            <w:hideMark/>
          </w:tcPr>
          <w:p w14:paraId="6CC3C667"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0</w:t>
            </w:r>
          </w:p>
        </w:tc>
        <w:tc>
          <w:tcPr>
            <w:tcW w:w="1189" w:type="dxa"/>
            <w:tcBorders>
              <w:top w:val="single" w:sz="4" w:space="0" w:color="auto"/>
              <w:left w:val="single" w:sz="4" w:space="0" w:color="auto"/>
              <w:bottom w:val="single" w:sz="4" w:space="0" w:color="auto"/>
              <w:right w:val="single" w:sz="4" w:space="0" w:color="auto"/>
            </w:tcBorders>
            <w:hideMark/>
          </w:tcPr>
          <w:p w14:paraId="2D9F5694" w14:textId="77777777" w:rsidR="00FC0A22" w:rsidRDefault="00FC0A22">
            <w:pPr>
              <w:pStyle w:val="afc"/>
              <w:spacing w:before="120" w:after="0"/>
              <w:jc w:val="right"/>
              <w:rPr>
                <w:rFonts w:ascii="Times New Roman" w:hAnsi="Times New Roman" w:cs="Times New Roman"/>
                <w:sz w:val="24"/>
                <w:szCs w:val="24"/>
              </w:rPr>
            </w:pPr>
            <w:r>
              <w:rPr>
                <w:rFonts w:ascii="Times New Roman" w:hAnsi="Times New Roman" w:cs="Times New Roman"/>
                <w:sz w:val="24"/>
                <w:szCs w:val="24"/>
              </w:rPr>
              <w:t>-0.1</w:t>
            </w:r>
          </w:p>
        </w:tc>
      </w:tr>
    </w:tbl>
    <w:p w14:paraId="46DC6FDD" w14:textId="77777777" w:rsidR="00FC0A22" w:rsidRDefault="00FC0A22" w:rsidP="00FC0A22">
      <w:pPr>
        <w:shd w:val="clear" w:color="auto" w:fill="FFFFFF"/>
        <w:spacing w:line="360" w:lineRule="auto"/>
        <w:ind w:left="567"/>
        <w:jc w:val="both"/>
        <w:rPr>
          <w:rFonts w:ascii="Times New Roman" w:hAnsi="Times New Roman" w:cs="Times New Roman"/>
          <w:sz w:val="24"/>
          <w:szCs w:val="24"/>
        </w:rPr>
      </w:pPr>
    </w:p>
    <w:p w14:paraId="11BC3E8A" w14:textId="1E4840E8" w:rsidR="00FC0A22" w:rsidRDefault="00FC0A22" w:rsidP="00FC0A22">
      <w:pPr>
        <w:shd w:val="clear" w:color="auto" w:fill="FFFFFF"/>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Для дополнительного финансирования можно было бы привлечь средства ФНБ и внутренние займы. При этом объем ФНБ сохранился бы на уровне 2019 г. (8.1 трлн. руб.), а объем госдолга остался бы в «безопасной» зоне (менее 17% к ВВП), что является небольшой платой за ускорение экономического роста после провала 2020 г. Использование дополнительного финансирования преимущественно на государственное потребление (в первую очередь, на образование, здравоохранение и науку) и инвестиции в инфраструктурные проекты позволит добиться мультипликатора дополнительных расходов около единицы в 2021-2022 гг. (то есть на каждый потраченный бюджетный рубль прирост ВВП составит 1 рубль) и 1.5 – в 2023 г. Потери бюджета от дополнительных процентных расходов и сокращения неналоговых доходов от размещения средств ФНБ будут полностью компенсированы ростом налоговых </w:t>
      </w:r>
      <w:proofErr w:type="spellStart"/>
      <w:r>
        <w:rPr>
          <w:rFonts w:ascii="Times New Roman" w:hAnsi="Times New Roman" w:cs="Times New Roman"/>
          <w:sz w:val="28"/>
          <w:szCs w:val="28"/>
        </w:rPr>
        <w:t>ненефтегазовых</w:t>
      </w:r>
      <w:proofErr w:type="spellEnd"/>
      <w:r>
        <w:rPr>
          <w:rFonts w:ascii="Times New Roman" w:hAnsi="Times New Roman" w:cs="Times New Roman"/>
          <w:sz w:val="28"/>
          <w:szCs w:val="28"/>
        </w:rPr>
        <w:t xml:space="preserve"> поступлений, динамика которых составит 6.5% ежегодно. Таким образом, представленный сценарий действий позволяет не только запустить активное восстановление экономики, но и не угрожает бюджетной стабильности как в кратко-, так и в среднесрочной перспективе.</w:t>
      </w:r>
    </w:p>
    <w:p w14:paraId="25CED730" w14:textId="7B0BB0B1" w:rsidR="00EB4B0F" w:rsidRPr="00EB4B0F" w:rsidRDefault="00EB4B0F" w:rsidP="00EB4B0F">
      <w:pPr>
        <w:rPr>
          <w:rFonts w:ascii="Times New Roman" w:hAnsi="Times New Roman" w:cs="Times New Roman"/>
          <w:sz w:val="28"/>
          <w:szCs w:val="28"/>
        </w:rPr>
      </w:pPr>
      <w:r>
        <w:rPr>
          <w:rFonts w:ascii="Times New Roman" w:hAnsi="Times New Roman" w:cs="Times New Roman"/>
          <w:sz w:val="28"/>
          <w:szCs w:val="28"/>
        </w:rPr>
        <w:br w:type="page"/>
      </w:r>
    </w:p>
    <w:p w14:paraId="11898A77" w14:textId="266A8C26" w:rsidR="000A0B39" w:rsidRPr="000A0B39" w:rsidRDefault="000A0B39" w:rsidP="006F431D">
      <w:pPr>
        <w:pStyle w:val="1"/>
        <w:numPr>
          <w:ilvl w:val="0"/>
          <w:numId w:val="14"/>
        </w:numPr>
        <w:rPr>
          <w:rFonts w:ascii="Times New Roman" w:hAnsi="Times New Roman" w:cs="Times New Roman"/>
          <w:color w:val="auto"/>
        </w:rPr>
      </w:pPr>
      <w:bookmarkStart w:id="5" w:name="_Toc67417870"/>
      <w:r w:rsidRPr="000A0B39">
        <w:rPr>
          <w:rFonts w:ascii="Times New Roman" w:hAnsi="Times New Roman" w:cs="Times New Roman"/>
          <w:color w:val="auto"/>
        </w:rPr>
        <w:t>Эффективность труда и уровень заработной платы</w:t>
      </w:r>
      <w:bookmarkEnd w:id="5"/>
    </w:p>
    <w:p w14:paraId="15681574" w14:textId="77777777" w:rsidR="007C32A8" w:rsidRPr="007C32A8" w:rsidRDefault="007C32A8" w:rsidP="007C32A8">
      <w:pPr>
        <w:spacing w:before="240"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Мера влияния фактора труда на динамику производства определяется возможностями роста производительности труда, которая, в свою очередь, зависит от интенсивности обновления капитала, от уровня и динамики заработной платы и качества человеческого капитала</w:t>
      </w:r>
      <w:r>
        <w:rPr>
          <w:rStyle w:val="ad"/>
          <w:rFonts w:ascii="Times New Roman" w:hAnsi="Times New Roman" w:cs="Times New Roman"/>
          <w:sz w:val="28"/>
          <w:szCs w:val="28"/>
        </w:rPr>
        <w:footnoteReference w:id="12"/>
      </w:r>
      <w:r w:rsidRPr="007C32A8">
        <w:rPr>
          <w:rFonts w:ascii="Times New Roman" w:hAnsi="Times New Roman" w:cs="Times New Roman"/>
          <w:sz w:val="28"/>
          <w:szCs w:val="28"/>
        </w:rPr>
        <w:t xml:space="preserve">. </w:t>
      </w:r>
    </w:p>
    <w:p w14:paraId="550BBBDC" w14:textId="77777777" w:rsidR="007C32A8" w:rsidRDefault="007C32A8" w:rsidP="007C32A8">
      <w:pPr>
        <w:pStyle w:val="ab"/>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дальнейшего анализа в качестве показателя производительности труда будем использовать объем валовой продукции (в постоянных ценах), произведенной в расчете на одного занятого работника в среднем в год</w:t>
      </w:r>
      <w:r>
        <w:rPr>
          <w:rStyle w:val="ad"/>
          <w:rFonts w:ascii="Times New Roman" w:hAnsi="Times New Roman" w:cs="Times New Roman"/>
          <w:sz w:val="28"/>
          <w:szCs w:val="28"/>
        </w:rPr>
        <w:footnoteReference w:id="13"/>
      </w:r>
      <w:r>
        <w:rPr>
          <w:rFonts w:ascii="Times New Roman" w:hAnsi="Times New Roman" w:cs="Times New Roman"/>
          <w:sz w:val="28"/>
          <w:szCs w:val="28"/>
        </w:rPr>
        <w:t xml:space="preserve">. Рассчитанный таким образом показатель позволяет достаточно объективно измерять уровень и динамику производительности труда на длительной ретроспективе и удобен для </w:t>
      </w:r>
      <w:proofErr w:type="spellStart"/>
      <w:r>
        <w:rPr>
          <w:rFonts w:ascii="Times New Roman" w:hAnsi="Times New Roman" w:cs="Times New Roman"/>
          <w:sz w:val="28"/>
          <w:szCs w:val="28"/>
        </w:rPr>
        <w:t>межстрановых</w:t>
      </w:r>
      <w:proofErr w:type="spellEnd"/>
      <w:r>
        <w:rPr>
          <w:rFonts w:ascii="Times New Roman" w:hAnsi="Times New Roman" w:cs="Times New Roman"/>
          <w:sz w:val="28"/>
          <w:szCs w:val="28"/>
        </w:rPr>
        <w:t xml:space="preserve"> сопоставлений. </w:t>
      </w:r>
    </w:p>
    <w:p w14:paraId="3E32D405"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Анализ мирового опыта показывает, что возможности роста производительности труда ограничены; и даже высокие темпы роста инвестиций в основной капитал не всегда могут преломить сложившиеся тенденции. Например, в России период </w:t>
      </w:r>
      <w:proofErr w:type="gramStart"/>
      <w:r w:rsidRPr="007C32A8">
        <w:rPr>
          <w:rFonts w:ascii="Times New Roman" w:hAnsi="Times New Roman" w:cs="Times New Roman"/>
          <w:sz w:val="28"/>
          <w:szCs w:val="28"/>
        </w:rPr>
        <w:t>1999-2008</w:t>
      </w:r>
      <w:proofErr w:type="gramEnd"/>
      <w:r w:rsidRPr="007C32A8">
        <w:rPr>
          <w:rFonts w:ascii="Times New Roman" w:hAnsi="Times New Roman" w:cs="Times New Roman"/>
          <w:sz w:val="28"/>
          <w:szCs w:val="28"/>
        </w:rPr>
        <w:t xml:space="preserve"> гг. характеризовался двузначными темпами прироста инвестиций, однако реальный прирост производительности в сфере материального производства в этот период составил не более 3% в год</w:t>
      </w:r>
      <w:r>
        <w:rPr>
          <w:rStyle w:val="ad"/>
          <w:rFonts w:ascii="Times New Roman" w:hAnsi="Times New Roman" w:cs="Times New Roman"/>
          <w:sz w:val="28"/>
          <w:szCs w:val="28"/>
        </w:rPr>
        <w:footnoteReference w:id="14"/>
      </w:r>
      <w:r w:rsidRPr="007C32A8">
        <w:rPr>
          <w:rFonts w:ascii="Times New Roman" w:hAnsi="Times New Roman" w:cs="Times New Roman"/>
          <w:sz w:val="28"/>
          <w:szCs w:val="28"/>
        </w:rPr>
        <w:t>. Зафиксированный Росстатом прирост производительности труда в материальной сфере 6,5% в среднем в год в этот период отражал лишь увеличение загрузки производственных мощностей.</w:t>
      </w:r>
    </w:p>
    <w:p w14:paraId="3EFC8946" w14:textId="77777777" w:rsidR="007C32A8" w:rsidRDefault="007C32A8" w:rsidP="007C32A8">
      <w:pPr>
        <w:pStyle w:val="2"/>
        <w:tabs>
          <w:tab w:val="left" w:pos="9360"/>
        </w:tabs>
        <w:suppressAutoHyphens/>
        <w:spacing w:after="0" w:line="360" w:lineRule="auto"/>
        <w:ind w:firstLine="567"/>
        <w:rPr>
          <w:rFonts w:cs="Times New Roman"/>
          <w:sz w:val="28"/>
          <w:szCs w:val="28"/>
        </w:rPr>
      </w:pPr>
      <w:r>
        <w:rPr>
          <w:rFonts w:cs="Times New Roman"/>
          <w:sz w:val="28"/>
          <w:szCs w:val="28"/>
        </w:rPr>
        <w:t xml:space="preserve">Динамика производительности труда зависит в том числе от объема инвестиций (валового накопления основного капитала) и интенсивности обновления капитала в экономике. При этом более высокий рост производительности труда обуславливается существенно более высокой нормой накопления. Например, Китаю для среднегодового прироста производительности в 7% в период </w:t>
      </w:r>
      <w:proofErr w:type="gramStart"/>
      <w:r>
        <w:rPr>
          <w:rFonts w:cs="Times New Roman"/>
          <w:sz w:val="28"/>
          <w:szCs w:val="28"/>
        </w:rPr>
        <w:t>1999-2008</w:t>
      </w:r>
      <w:proofErr w:type="gramEnd"/>
      <w:r>
        <w:rPr>
          <w:rFonts w:cs="Times New Roman"/>
          <w:sz w:val="28"/>
          <w:szCs w:val="28"/>
        </w:rPr>
        <w:t xml:space="preserve"> гг. понадобилось нарастить норму накопления до 40%</w:t>
      </w:r>
      <w:r>
        <w:rPr>
          <w:rStyle w:val="ad"/>
          <w:rFonts w:cs="Times New Roman"/>
          <w:sz w:val="28"/>
          <w:szCs w:val="28"/>
        </w:rPr>
        <w:footnoteReference w:id="15"/>
      </w:r>
      <w:r>
        <w:rPr>
          <w:rFonts w:cs="Times New Roman"/>
          <w:sz w:val="28"/>
          <w:szCs w:val="28"/>
        </w:rPr>
        <w:t xml:space="preserve">. В советский период </w:t>
      </w:r>
      <w:proofErr w:type="gramStart"/>
      <w:r>
        <w:rPr>
          <w:rFonts w:cs="Times New Roman"/>
          <w:sz w:val="28"/>
          <w:szCs w:val="28"/>
        </w:rPr>
        <w:t>1981-1989</w:t>
      </w:r>
      <w:proofErr w:type="gramEnd"/>
      <w:r>
        <w:rPr>
          <w:rFonts w:cs="Times New Roman"/>
          <w:sz w:val="28"/>
          <w:szCs w:val="28"/>
        </w:rPr>
        <w:t xml:space="preserve"> гг. относительно невысокий прирост производительности (2,7% в среднем в год в целом по экономике) в нашей стране потребовал нормы накопления около 33%. Не удивительно, что при норме накопления в 22% в период </w:t>
      </w:r>
      <w:proofErr w:type="gramStart"/>
      <w:r>
        <w:rPr>
          <w:rFonts w:cs="Times New Roman"/>
          <w:sz w:val="28"/>
          <w:szCs w:val="28"/>
        </w:rPr>
        <w:t>1999-2008</w:t>
      </w:r>
      <w:proofErr w:type="gramEnd"/>
      <w:r>
        <w:rPr>
          <w:rFonts w:cs="Times New Roman"/>
          <w:sz w:val="28"/>
          <w:szCs w:val="28"/>
        </w:rPr>
        <w:t xml:space="preserve"> гг. темпы прироста производительности труда в России не превышали 3% в среднегодовом выражении.</w:t>
      </w:r>
    </w:p>
    <w:p w14:paraId="792B2AE0"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В последние годы (</w:t>
      </w:r>
      <w:proofErr w:type="gramStart"/>
      <w:r w:rsidRPr="007C32A8">
        <w:rPr>
          <w:rFonts w:ascii="Times New Roman" w:hAnsi="Times New Roman" w:cs="Times New Roman"/>
          <w:sz w:val="28"/>
          <w:szCs w:val="28"/>
        </w:rPr>
        <w:t>2015-2019</w:t>
      </w:r>
      <w:proofErr w:type="gramEnd"/>
      <w:r w:rsidRPr="007C32A8">
        <w:rPr>
          <w:rFonts w:ascii="Times New Roman" w:hAnsi="Times New Roman" w:cs="Times New Roman"/>
          <w:sz w:val="28"/>
          <w:szCs w:val="28"/>
        </w:rPr>
        <w:t xml:space="preserve"> гг.), когда уровень загрузки мощностей и трудовых ресурсов нормализовался, темп прироста производительности труда в России в целом по экономике, по данным Росстата не превышает 1,9%. </w:t>
      </w:r>
    </w:p>
    <w:p w14:paraId="0818DB86"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К основным и наиболее значимым факторам, оказывающим влияние на рост производительности труда, на наш взгляд, относятся следующие:</w:t>
      </w:r>
    </w:p>
    <w:p w14:paraId="3CAA58CE" w14:textId="77777777" w:rsidR="007C32A8" w:rsidRPr="007C32A8" w:rsidRDefault="007C32A8" w:rsidP="007C32A8">
      <w:pPr>
        <w:spacing w:line="360" w:lineRule="auto"/>
        <w:ind w:firstLine="567"/>
        <w:jc w:val="both"/>
        <w:rPr>
          <w:rFonts w:ascii="Times New Roman" w:hAnsi="Times New Roman" w:cs="Times New Roman"/>
          <w:i/>
          <w:iCs/>
          <w:sz w:val="28"/>
          <w:szCs w:val="28"/>
        </w:rPr>
      </w:pPr>
      <w:r w:rsidRPr="007C32A8">
        <w:rPr>
          <w:rFonts w:ascii="Times New Roman" w:hAnsi="Times New Roman" w:cs="Times New Roman"/>
          <w:i/>
          <w:iCs/>
          <w:sz w:val="28"/>
          <w:szCs w:val="28"/>
        </w:rPr>
        <w:t xml:space="preserve">Уровень и динамика технологического развития. </w:t>
      </w:r>
    </w:p>
    <w:p w14:paraId="6E1DA85B"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Известно, что производительность труда зависит от технологических возможностей производства. Низкий уровень производительности труда в России (в 2019 г. это всего 37% от уровня этого показателя в США, 40% - от Германии, 57% - от Японии и 63% - от Чехии, 73% - от Греции</w:t>
      </w:r>
      <w:r>
        <w:rPr>
          <w:rStyle w:val="ad"/>
          <w:rFonts w:ascii="Times New Roman" w:hAnsi="Times New Roman" w:cs="Times New Roman"/>
          <w:sz w:val="28"/>
          <w:szCs w:val="28"/>
        </w:rPr>
        <w:footnoteReference w:id="16"/>
      </w:r>
      <w:r w:rsidRPr="007C32A8">
        <w:rPr>
          <w:rFonts w:ascii="Times New Roman" w:hAnsi="Times New Roman" w:cs="Times New Roman"/>
          <w:sz w:val="28"/>
          <w:szCs w:val="28"/>
        </w:rPr>
        <w:t>) является следствием низкого уровня технологического развития страны. Если в качестве измерителя технологического уровня производства рассматривать продуктивность использования первичных ресурсов</w:t>
      </w:r>
      <w:r>
        <w:rPr>
          <w:rStyle w:val="ad"/>
          <w:rFonts w:ascii="Times New Roman" w:hAnsi="Times New Roman" w:cs="Times New Roman"/>
          <w:sz w:val="28"/>
          <w:szCs w:val="28"/>
        </w:rPr>
        <w:footnoteReference w:id="17"/>
      </w:r>
      <w:r w:rsidRPr="007C32A8">
        <w:rPr>
          <w:rFonts w:ascii="Times New Roman" w:hAnsi="Times New Roman" w:cs="Times New Roman"/>
          <w:sz w:val="28"/>
          <w:szCs w:val="28"/>
        </w:rPr>
        <w:t>, то в России в 2017 г. продуктивность экономики была равна 5,5 (цены 2010 г.), тогда как в США и в Германии в 2014 г. этот показатель составлял 9,3 и 9,9 соответственно (в ценах 2010 г.), в Японии – 9,5.</w:t>
      </w:r>
    </w:p>
    <w:p w14:paraId="02D09CE1"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По расчетам ИНП РАН, в период </w:t>
      </w:r>
      <w:proofErr w:type="gramStart"/>
      <w:r w:rsidRPr="007C32A8">
        <w:rPr>
          <w:rFonts w:ascii="Times New Roman" w:hAnsi="Times New Roman" w:cs="Times New Roman"/>
          <w:sz w:val="28"/>
          <w:szCs w:val="28"/>
        </w:rPr>
        <w:t>1990-2008</w:t>
      </w:r>
      <w:proofErr w:type="gramEnd"/>
      <w:r w:rsidRPr="007C32A8">
        <w:rPr>
          <w:rFonts w:ascii="Times New Roman" w:hAnsi="Times New Roman" w:cs="Times New Roman"/>
          <w:sz w:val="28"/>
          <w:szCs w:val="28"/>
        </w:rPr>
        <w:t xml:space="preserve"> гг. динамика технологических улучшений</w:t>
      </w:r>
      <w:r>
        <w:rPr>
          <w:rStyle w:val="ad"/>
          <w:rFonts w:ascii="Times New Roman" w:hAnsi="Times New Roman" w:cs="Times New Roman"/>
          <w:sz w:val="28"/>
          <w:szCs w:val="28"/>
        </w:rPr>
        <w:footnoteReference w:id="18"/>
      </w:r>
      <w:r w:rsidRPr="007C32A8">
        <w:rPr>
          <w:rFonts w:ascii="Times New Roman" w:hAnsi="Times New Roman" w:cs="Times New Roman"/>
          <w:sz w:val="28"/>
          <w:szCs w:val="28"/>
        </w:rPr>
        <w:t xml:space="preserve"> в России была в 3 раза выше, чем в Японии, что объясняется традиционным преимуществом стран догоняющих, ориентирующихся преимущественно на заимствования, а не на создание технологических инноваций. </w:t>
      </w:r>
    </w:p>
    <w:p w14:paraId="181F13EC" w14:textId="77777777" w:rsidR="007C32A8" w:rsidRPr="007C32A8" w:rsidRDefault="007C32A8" w:rsidP="007C32A8">
      <w:pPr>
        <w:spacing w:after="0"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Производительность труда возрастает при повышении технологического уровня производств. При этом производительность, измеренная через удельные затраты труда на производство продукции, всегда растет быстрее, чем продуктивность</w:t>
      </w:r>
      <w:r>
        <w:rPr>
          <w:rStyle w:val="ad"/>
          <w:rFonts w:ascii="Times New Roman" w:hAnsi="Times New Roman" w:cs="Times New Roman"/>
          <w:sz w:val="28"/>
          <w:szCs w:val="28"/>
        </w:rPr>
        <w:footnoteReference w:id="19"/>
      </w:r>
      <w:r w:rsidRPr="007C32A8">
        <w:rPr>
          <w:rFonts w:ascii="Times New Roman" w:hAnsi="Times New Roman" w:cs="Times New Roman"/>
          <w:sz w:val="28"/>
          <w:szCs w:val="28"/>
        </w:rPr>
        <w:t>. Это подтверждается статистическими данными не только для отечественной экономики, но и для экономик других стран.</w:t>
      </w:r>
    </w:p>
    <w:p w14:paraId="7B4BF057"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Производительность труда возрастает при повышении технологического уровня производств. При этом в условиях технического прогресса рост затрат труда всегда отстает от динамики потребления первичных ресурсов.  В результате производительность труда всегда растет быстрее продуктивности использования первичных ресурсов. Технический прогресс проявляется сначала в снижении удельных затрат труда на переработку первичных ресурсов, а затем в повышении коэффициента фабрикации, то есть выхода продукции на единицу затрачиваемого сырья.  </w:t>
      </w:r>
    </w:p>
    <w:p w14:paraId="2B5045DF"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Более быстрый рост производительности труда по сравнению с продуктивностью использования первичных ресурсов подтверждается статистическими данными не только для отечественной экономики, но и для экономик других стран.</w:t>
      </w:r>
    </w:p>
    <w:p w14:paraId="4195570D"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 Соотношение динамики производительности труда и продуктивности для экономики России на ретроспективе </w:t>
      </w:r>
      <w:proofErr w:type="gramStart"/>
      <w:r w:rsidRPr="007C32A8">
        <w:rPr>
          <w:rFonts w:ascii="Times New Roman" w:hAnsi="Times New Roman" w:cs="Times New Roman"/>
          <w:sz w:val="28"/>
          <w:szCs w:val="28"/>
        </w:rPr>
        <w:t>2000-2017</w:t>
      </w:r>
      <w:proofErr w:type="gramEnd"/>
      <w:r w:rsidRPr="007C32A8">
        <w:rPr>
          <w:rFonts w:ascii="Times New Roman" w:hAnsi="Times New Roman" w:cs="Times New Roman"/>
          <w:sz w:val="28"/>
          <w:szCs w:val="28"/>
        </w:rPr>
        <w:t xml:space="preserve"> гг. оценивается в 1,008, т.е. при росте продуктивности использования первичных ресурсов на 1%, можно рассчитывать на рост производительности труда на 1,8%. </w:t>
      </w:r>
    </w:p>
    <w:p w14:paraId="19395BCD" w14:textId="77777777" w:rsidR="007C32A8" w:rsidRPr="007C32A8" w:rsidRDefault="007C32A8" w:rsidP="007C32A8">
      <w:pPr>
        <w:spacing w:line="360" w:lineRule="auto"/>
        <w:ind w:firstLine="567"/>
        <w:jc w:val="both"/>
        <w:rPr>
          <w:rFonts w:ascii="Times New Roman" w:hAnsi="Times New Roman" w:cs="Times New Roman"/>
          <w:i/>
          <w:iCs/>
          <w:sz w:val="28"/>
          <w:szCs w:val="28"/>
        </w:rPr>
      </w:pPr>
      <w:r w:rsidRPr="007C32A8">
        <w:rPr>
          <w:rFonts w:ascii="Times New Roman" w:hAnsi="Times New Roman" w:cs="Times New Roman"/>
          <w:i/>
          <w:iCs/>
          <w:sz w:val="28"/>
          <w:szCs w:val="28"/>
        </w:rPr>
        <w:t>Уровень и динамика оплаты труда.</w:t>
      </w:r>
    </w:p>
    <w:p w14:paraId="4883854A"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Сохранение низких темпов роста производительности труда в значительной степени консервируется низким уровнем заработной платы, который, среди прочего, стимулирует накопление скрытой безработицы (неполной и неэффективной занятости)</w:t>
      </w:r>
      <w:r>
        <w:rPr>
          <w:rStyle w:val="ad"/>
          <w:rFonts w:ascii="Times New Roman" w:hAnsi="Times New Roman" w:cs="Times New Roman"/>
          <w:sz w:val="28"/>
          <w:szCs w:val="28"/>
        </w:rPr>
        <w:footnoteReference w:id="20"/>
      </w:r>
      <w:r w:rsidRPr="007C32A8">
        <w:rPr>
          <w:rFonts w:ascii="Times New Roman" w:hAnsi="Times New Roman" w:cs="Times New Roman"/>
          <w:sz w:val="28"/>
          <w:szCs w:val="28"/>
        </w:rPr>
        <w:t>. Напротив, рост оплаты труда стимулирует предприятия более эффективно организовывать рабочий процесс, повышать фондовооруженность рабочих мест, создавать иные предпосылки для роста производительности труда</w:t>
      </w:r>
      <w:r>
        <w:rPr>
          <w:rStyle w:val="ad"/>
          <w:rFonts w:ascii="Times New Roman" w:hAnsi="Times New Roman" w:cs="Times New Roman"/>
          <w:sz w:val="28"/>
          <w:szCs w:val="28"/>
        </w:rPr>
        <w:footnoteReference w:id="21"/>
      </w:r>
      <w:r w:rsidRPr="007C32A8">
        <w:rPr>
          <w:rFonts w:ascii="Times New Roman" w:hAnsi="Times New Roman" w:cs="Times New Roman"/>
          <w:sz w:val="28"/>
          <w:szCs w:val="28"/>
        </w:rPr>
        <w:t xml:space="preserve">. </w:t>
      </w:r>
    </w:p>
    <w:p w14:paraId="789D3C19"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Действительно, как видно из табл. 5.1, рост производительности труда существенно превосходит средние показатели в тех секторах экономики, где заработная плата растет достаточно высокими темпами. К таким секторам можно отнести сельское хозяйство (среднегодовая динамика оплаты труда и производительности в </w:t>
      </w:r>
      <w:proofErr w:type="gramStart"/>
      <w:r w:rsidRPr="007C32A8">
        <w:rPr>
          <w:rFonts w:ascii="Times New Roman" w:hAnsi="Times New Roman" w:cs="Times New Roman"/>
          <w:sz w:val="28"/>
          <w:szCs w:val="28"/>
        </w:rPr>
        <w:t>2010-2017</w:t>
      </w:r>
      <w:proofErr w:type="gramEnd"/>
      <w:r w:rsidRPr="007C32A8">
        <w:rPr>
          <w:rFonts w:ascii="Times New Roman" w:hAnsi="Times New Roman" w:cs="Times New Roman"/>
          <w:sz w:val="28"/>
          <w:szCs w:val="28"/>
        </w:rPr>
        <w:t xml:space="preserve"> гг. составила 103,96% и 105,27% соответственно), обрабатывающую промышленность (102,31% и 103,45%, соответственно), деятельность финансовую и страховую (104,03% и 102,62%, соответственно) и деятельность профессиональную, научную и техническую (102,79% и 105,57%, соответственно). В целом по экономике темп роста оплаты труда в </w:t>
      </w:r>
      <w:proofErr w:type="gramStart"/>
      <w:r w:rsidRPr="007C32A8">
        <w:rPr>
          <w:rFonts w:ascii="Times New Roman" w:hAnsi="Times New Roman" w:cs="Times New Roman"/>
          <w:sz w:val="28"/>
          <w:szCs w:val="28"/>
        </w:rPr>
        <w:t>2010-2017</w:t>
      </w:r>
      <w:proofErr w:type="gramEnd"/>
      <w:r w:rsidRPr="007C32A8">
        <w:rPr>
          <w:rFonts w:ascii="Times New Roman" w:hAnsi="Times New Roman" w:cs="Times New Roman"/>
          <w:sz w:val="28"/>
          <w:szCs w:val="28"/>
        </w:rPr>
        <w:t xml:space="preserve"> гг. составил 100,9% в год, темп роста производительности – 101,8% в год.</w:t>
      </w:r>
    </w:p>
    <w:p w14:paraId="43179194" w14:textId="77777777" w:rsidR="007C32A8" w:rsidRPr="007C32A8" w:rsidRDefault="007C32A8" w:rsidP="007C32A8">
      <w:pPr>
        <w:bidi/>
        <w:ind w:firstLine="567"/>
        <w:jc w:val="center"/>
        <w:rPr>
          <w:rFonts w:ascii="Times New Roman" w:hAnsi="Times New Roman" w:cs="Times New Roman"/>
          <w:sz w:val="28"/>
          <w:szCs w:val="28"/>
        </w:rPr>
      </w:pPr>
      <w:bookmarkStart w:id="6" w:name="OLE_LINK1"/>
      <w:r w:rsidRPr="007C32A8">
        <w:rPr>
          <w:rFonts w:ascii="Times New Roman" w:hAnsi="Times New Roman" w:cs="Times New Roman"/>
          <w:sz w:val="28"/>
          <w:szCs w:val="28"/>
        </w:rPr>
        <w:t xml:space="preserve">Таблица 5.1. Среднегодовые темпы роста производительности труда (выпуск/среднегодового занятого) и заработной платы в </w:t>
      </w:r>
      <w:proofErr w:type="gramStart"/>
      <w:r w:rsidRPr="007C32A8">
        <w:rPr>
          <w:rFonts w:ascii="Times New Roman" w:hAnsi="Times New Roman" w:cs="Times New Roman"/>
          <w:sz w:val="28"/>
          <w:szCs w:val="28"/>
        </w:rPr>
        <w:t>2010-2017</w:t>
      </w:r>
      <w:proofErr w:type="gramEnd"/>
      <w:r w:rsidRPr="007C32A8">
        <w:rPr>
          <w:rFonts w:ascii="Times New Roman" w:hAnsi="Times New Roman" w:cs="Times New Roman"/>
          <w:sz w:val="28"/>
          <w:szCs w:val="28"/>
        </w:rPr>
        <w:t xml:space="preserve"> гг., %</w:t>
      </w:r>
    </w:p>
    <w:bookmarkEnd w:i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3979"/>
        <w:gridCol w:w="2095"/>
        <w:gridCol w:w="2146"/>
      </w:tblGrid>
      <w:tr w:rsidR="007C32A8" w14:paraId="1DCE02C0" w14:textId="77777777" w:rsidTr="007C32A8">
        <w:tc>
          <w:tcPr>
            <w:tcW w:w="1119" w:type="dxa"/>
            <w:tcBorders>
              <w:top w:val="single" w:sz="4" w:space="0" w:color="auto"/>
              <w:left w:val="single" w:sz="4" w:space="0" w:color="auto"/>
              <w:bottom w:val="single" w:sz="4" w:space="0" w:color="auto"/>
              <w:right w:val="single" w:sz="4" w:space="0" w:color="auto"/>
            </w:tcBorders>
            <w:vAlign w:val="bottom"/>
          </w:tcPr>
          <w:p w14:paraId="7A38B666" w14:textId="77777777" w:rsidR="007C32A8" w:rsidRPr="007C32A8" w:rsidRDefault="007C32A8" w:rsidP="007C32A8">
            <w:pPr>
              <w:spacing w:line="256" w:lineRule="auto"/>
              <w:rPr>
                <w:rFonts w:ascii="Times New Roman" w:hAnsi="Times New Roman" w:cs="Times New Roman"/>
                <w:szCs w:val="24"/>
              </w:rPr>
            </w:pPr>
          </w:p>
        </w:tc>
        <w:tc>
          <w:tcPr>
            <w:tcW w:w="3979" w:type="dxa"/>
            <w:tcBorders>
              <w:top w:val="single" w:sz="4" w:space="0" w:color="auto"/>
              <w:left w:val="single" w:sz="4" w:space="0" w:color="auto"/>
              <w:bottom w:val="single" w:sz="4" w:space="0" w:color="auto"/>
              <w:right w:val="single" w:sz="4" w:space="0" w:color="auto"/>
            </w:tcBorders>
            <w:vAlign w:val="bottom"/>
          </w:tcPr>
          <w:p w14:paraId="6CBA6CE0" w14:textId="77777777" w:rsidR="007C32A8" w:rsidRPr="007C32A8" w:rsidRDefault="007C32A8" w:rsidP="007C32A8">
            <w:pPr>
              <w:spacing w:line="256" w:lineRule="auto"/>
              <w:rPr>
                <w:rFonts w:ascii="Times New Roman" w:hAnsi="Times New Roman" w:cs="Times New Roman"/>
                <w:szCs w:val="24"/>
              </w:rPr>
            </w:pPr>
          </w:p>
        </w:tc>
        <w:tc>
          <w:tcPr>
            <w:tcW w:w="2095" w:type="dxa"/>
            <w:tcBorders>
              <w:top w:val="single" w:sz="4" w:space="0" w:color="auto"/>
              <w:left w:val="single" w:sz="4" w:space="0" w:color="auto"/>
              <w:bottom w:val="single" w:sz="4" w:space="0" w:color="auto"/>
              <w:right w:val="single" w:sz="4" w:space="0" w:color="auto"/>
            </w:tcBorders>
            <w:hideMark/>
          </w:tcPr>
          <w:p w14:paraId="46EFB719"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Темп роста среднемесячной начисленной заработной платы (цены 2009 г., дефлятор ВВП)</w:t>
            </w:r>
          </w:p>
        </w:tc>
        <w:tc>
          <w:tcPr>
            <w:tcW w:w="2146" w:type="dxa"/>
            <w:tcBorders>
              <w:top w:val="single" w:sz="4" w:space="0" w:color="auto"/>
              <w:left w:val="single" w:sz="4" w:space="0" w:color="auto"/>
              <w:bottom w:val="single" w:sz="4" w:space="0" w:color="auto"/>
              <w:right w:val="single" w:sz="4" w:space="0" w:color="auto"/>
            </w:tcBorders>
            <w:hideMark/>
          </w:tcPr>
          <w:p w14:paraId="75501F4F"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Темп роста производительности труда (цены 2010 г.)</w:t>
            </w:r>
          </w:p>
        </w:tc>
      </w:tr>
      <w:tr w:rsidR="007C32A8" w14:paraId="3F76F8E1"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034C4CB5"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A</w:t>
            </w:r>
          </w:p>
        </w:tc>
        <w:tc>
          <w:tcPr>
            <w:tcW w:w="3979" w:type="dxa"/>
            <w:tcBorders>
              <w:top w:val="single" w:sz="4" w:space="0" w:color="auto"/>
              <w:left w:val="single" w:sz="4" w:space="0" w:color="auto"/>
              <w:bottom w:val="single" w:sz="4" w:space="0" w:color="auto"/>
              <w:right w:val="single" w:sz="4" w:space="0" w:color="auto"/>
            </w:tcBorders>
            <w:vAlign w:val="bottom"/>
            <w:hideMark/>
          </w:tcPr>
          <w:p w14:paraId="21275DC6"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Сельское, лесное хозяйство, охота, рыболовство и рыбоводство</w:t>
            </w:r>
          </w:p>
        </w:tc>
        <w:tc>
          <w:tcPr>
            <w:tcW w:w="2095" w:type="dxa"/>
            <w:tcBorders>
              <w:top w:val="single" w:sz="4" w:space="0" w:color="auto"/>
              <w:left w:val="single" w:sz="4" w:space="0" w:color="auto"/>
              <w:bottom w:val="single" w:sz="4" w:space="0" w:color="auto"/>
              <w:right w:val="single" w:sz="4" w:space="0" w:color="auto"/>
            </w:tcBorders>
            <w:vAlign w:val="bottom"/>
            <w:hideMark/>
          </w:tcPr>
          <w:p w14:paraId="7E453A3D"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103,96</w:t>
            </w:r>
          </w:p>
        </w:tc>
        <w:tc>
          <w:tcPr>
            <w:tcW w:w="2146" w:type="dxa"/>
            <w:tcBorders>
              <w:top w:val="single" w:sz="4" w:space="0" w:color="auto"/>
              <w:left w:val="single" w:sz="4" w:space="0" w:color="auto"/>
              <w:bottom w:val="single" w:sz="4" w:space="0" w:color="auto"/>
              <w:right w:val="single" w:sz="4" w:space="0" w:color="auto"/>
            </w:tcBorders>
            <w:vAlign w:val="bottom"/>
            <w:hideMark/>
          </w:tcPr>
          <w:p w14:paraId="40D827AD"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105,27</w:t>
            </w:r>
          </w:p>
        </w:tc>
      </w:tr>
      <w:tr w:rsidR="007C32A8" w14:paraId="13F00BF7"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5236B231"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B</w:t>
            </w:r>
          </w:p>
        </w:tc>
        <w:tc>
          <w:tcPr>
            <w:tcW w:w="3979" w:type="dxa"/>
            <w:tcBorders>
              <w:top w:val="single" w:sz="4" w:space="0" w:color="auto"/>
              <w:left w:val="single" w:sz="4" w:space="0" w:color="auto"/>
              <w:bottom w:val="single" w:sz="4" w:space="0" w:color="auto"/>
              <w:right w:val="single" w:sz="4" w:space="0" w:color="auto"/>
            </w:tcBorders>
            <w:vAlign w:val="bottom"/>
            <w:hideMark/>
          </w:tcPr>
          <w:p w14:paraId="175EF591"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Добыча полезных ископаемых</w:t>
            </w:r>
          </w:p>
        </w:tc>
        <w:tc>
          <w:tcPr>
            <w:tcW w:w="2095" w:type="dxa"/>
            <w:tcBorders>
              <w:top w:val="single" w:sz="4" w:space="0" w:color="auto"/>
              <w:left w:val="single" w:sz="4" w:space="0" w:color="auto"/>
              <w:bottom w:val="single" w:sz="4" w:space="0" w:color="auto"/>
              <w:right w:val="single" w:sz="4" w:space="0" w:color="auto"/>
            </w:tcBorders>
            <w:vAlign w:val="bottom"/>
            <w:hideMark/>
          </w:tcPr>
          <w:p w14:paraId="30FF8781"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97,14</w:t>
            </w:r>
          </w:p>
        </w:tc>
        <w:tc>
          <w:tcPr>
            <w:tcW w:w="2146" w:type="dxa"/>
            <w:tcBorders>
              <w:top w:val="single" w:sz="4" w:space="0" w:color="auto"/>
              <w:left w:val="single" w:sz="4" w:space="0" w:color="auto"/>
              <w:bottom w:val="single" w:sz="4" w:space="0" w:color="auto"/>
              <w:right w:val="single" w:sz="4" w:space="0" w:color="auto"/>
            </w:tcBorders>
            <w:vAlign w:val="bottom"/>
            <w:hideMark/>
          </w:tcPr>
          <w:p w14:paraId="55FE32CF"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101,64</w:t>
            </w:r>
          </w:p>
        </w:tc>
      </w:tr>
      <w:tr w:rsidR="007C32A8" w14:paraId="4F9ABC7C"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7B07B142"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C</w:t>
            </w:r>
          </w:p>
        </w:tc>
        <w:tc>
          <w:tcPr>
            <w:tcW w:w="3979" w:type="dxa"/>
            <w:tcBorders>
              <w:top w:val="single" w:sz="4" w:space="0" w:color="auto"/>
              <w:left w:val="single" w:sz="4" w:space="0" w:color="auto"/>
              <w:bottom w:val="single" w:sz="4" w:space="0" w:color="auto"/>
              <w:right w:val="single" w:sz="4" w:space="0" w:color="auto"/>
            </w:tcBorders>
            <w:vAlign w:val="bottom"/>
            <w:hideMark/>
          </w:tcPr>
          <w:p w14:paraId="71282975"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Обрабатывающие производства</w:t>
            </w:r>
          </w:p>
        </w:tc>
        <w:tc>
          <w:tcPr>
            <w:tcW w:w="2095" w:type="dxa"/>
            <w:tcBorders>
              <w:top w:val="single" w:sz="4" w:space="0" w:color="auto"/>
              <w:left w:val="single" w:sz="4" w:space="0" w:color="auto"/>
              <w:bottom w:val="single" w:sz="4" w:space="0" w:color="auto"/>
              <w:right w:val="single" w:sz="4" w:space="0" w:color="auto"/>
            </w:tcBorders>
            <w:vAlign w:val="bottom"/>
            <w:hideMark/>
          </w:tcPr>
          <w:p w14:paraId="2CCB70B4"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102,31</w:t>
            </w:r>
          </w:p>
        </w:tc>
        <w:tc>
          <w:tcPr>
            <w:tcW w:w="2146" w:type="dxa"/>
            <w:tcBorders>
              <w:top w:val="single" w:sz="4" w:space="0" w:color="auto"/>
              <w:left w:val="single" w:sz="4" w:space="0" w:color="auto"/>
              <w:bottom w:val="single" w:sz="4" w:space="0" w:color="auto"/>
              <w:right w:val="single" w:sz="4" w:space="0" w:color="auto"/>
            </w:tcBorders>
            <w:vAlign w:val="bottom"/>
            <w:hideMark/>
          </w:tcPr>
          <w:p w14:paraId="13AF8555"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103,45</w:t>
            </w:r>
          </w:p>
        </w:tc>
      </w:tr>
      <w:tr w:rsidR="007C32A8" w14:paraId="5A82CD55"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7E3DBA22"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D</w:t>
            </w:r>
          </w:p>
        </w:tc>
        <w:tc>
          <w:tcPr>
            <w:tcW w:w="3979" w:type="dxa"/>
            <w:tcBorders>
              <w:top w:val="single" w:sz="4" w:space="0" w:color="auto"/>
              <w:left w:val="single" w:sz="4" w:space="0" w:color="auto"/>
              <w:bottom w:val="single" w:sz="4" w:space="0" w:color="auto"/>
              <w:right w:val="single" w:sz="4" w:space="0" w:color="auto"/>
            </w:tcBorders>
            <w:vAlign w:val="bottom"/>
            <w:hideMark/>
          </w:tcPr>
          <w:p w14:paraId="211AA96F"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Обеспечение электрической энергией, газом и паром; кондиционирование воздуха</w:t>
            </w:r>
          </w:p>
        </w:tc>
        <w:tc>
          <w:tcPr>
            <w:tcW w:w="2095" w:type="dxa"/>
            <w:tcBorders>
              <w:top w:val="single" w:sz="4" w:space="0" w:color="auto"/>
              <w:left w:val="single" w:sz="4" w:space="0" w:color="auto"/>
              <w:bottom w:val="single" w:sz="4" w:space="0" w:color="auto"/>
              <w:right w:val="single" w:sz="4" w:space="0" w:color="auto"/>
            </w:tcBorders>
            <w:vAlign w:val="bottom"/>
            <w:hideMark/>
          </w:tcPr>
          <w:p w14:paraId="16E2BD33"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100,61</w:t>
            </w:r>
          </w:p>
        </w:tc>
        <w:tc>
          <w:tcPr>
            <w:tcW w:w="2146" w:type="dxa"/>
            <w:tcBorders>
              <w:top w:val="single" w:sz="4" w:space="0" w:color="auto"/>
              <w:left w:val="single" w:sz="4" w:space="0" w:color="auto"/>
              <w:bottom w:val="single" w:sz="4" w:space="0" w:color="auto"/>
              <w:right w:val="single" w:sz="4" w:space="0" w:color="auto"/>
            </w:tcBorders>
            <w:vAlign w:val="bottom"/>
            <w:hideMark/>
          </w:tcPr>
          <w:p w14:paraId="13811802"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99,42</w:t>
            </w:r>
          </w:p>
        </w:tc>
      </w:tr>
      <w:tr w:rsidR="007C32A8" w14:paraId="4FA460C3"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670C1017"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F</w:t>
            </w:r>
          </w:p>
        </w:tc>
        <w:tc>
          <w:tcPr>
            <w:tcW w:w="3979" w:type="dxa"/>
            <w:tcBorders>
              <w:top w:val="single" w:sz="4" w:space="0" w:color="auto"/>
              <w:left w:val="single" w:sz="4" w:space="0" w:color="auto"/>
              <w:bottom w:val="single" w:sz="4" w:space="0" w:color="auto"/>
              <w:right w:val="single" w:sz="4" w:space="0" w:color="auto"/>
            </w:tcBorders>
            <w:vAlign w:val="bottom"/>
            <w:hideMark/>
          </w:tcPr>
          <w:p w14:paraId="54D236DE"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Строительство</w:t>
            </w:r>
          </w:p>
        </w:tc>
        <w:tc>
          <w:tcPr>
            <w:tcW w:w="2095" w:type="dxa"/>
            <w:tcBorders>
              <w:top w:val="single" w:sz="4" w:space="0" w:color="auto"/>
              <w:left w:val="single" w:sz="4" w:space="0" w:color="auto"/>
              <w:bottom w:val="single" w:sz="4" w:space="0" w:color="auto"/>
              <w:right w:val="single" w:sz="4" w:space="0" w:color="auto"/>
            </w:tcBorders>
            <w:vAlign w:val="bottom"/>
            <w:hideMark/>
          </w:tcPr>
          <w:p w14:paraId="1F8FCDCC"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99,68</w:t>
            </w:r>
          </w:p>
        </w:tc>
        <w:tc>
          <w:tcPr>
            <w:tcW w:w="2146" w:type="dxa"/>
            <w:tcBorders>
              <w:top w:val="single" w:sz="4" w:space="0" w:color="auto"/>
              <w:left w:val="single" w:sz="4" w:space="0" w:color="auto"/>
              <w:bottom w:val="single" w:sz="4" w:space="0" w:color="auto"/>
              <w:right w:val="single" w:sz="4" w:space="0" w:color="auto"/>
            </w:tcBorders>
            <w:vAlign w:val="bottom"/>
            <w:hideMark/>
          </w:tcPr>
          <w:p w14:paraId="6AD6DB35"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99,73</w:t>
            </w:r>
          </w:p>
        </w:tc>
      </w:tr>
      <w:tr w:rsidR="007C32A8" w14:paraId="271713AE"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7020F0E1"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G</w:t>
            </w:r>
          </w:p>
        </w:tc>
        <w:tc>
          <w:tcPr>
            <w:tcW w:w="3979" w:type="dxa"/>
            <w:tcBorders>
              <w:top w:val="single" w:sz="4" w:space="0" w:color="auto"/>
              <w:left w:val="single" w:sz="4" w:space="0" w:color="auto"/>
              <w:bottom w:val="single" w:sz="4" w:space="0" w:color="auto"/>
              <w:right w:val="single" w:sz="4" w:space="0" w:color="auto"/>
            </w:tcBorders>
            <w:vAlign w:val="bottom"/>
            <w:hideMark/>
          </w:tcPr>
          <w:p w14:paraId="3AC5D1FD"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Торговля оптовая и розничная; ремонт автотранспортных средств и мотоциклов</w:t>
            </w:r>
          </w:p>
        </w:tc>
        <w:tc>
          <w:tcPr>
            <w:tcW w:w="2095" w:type="dxa"/>
            <w:tcBorders>
              <w:top w:val="single" w:sz="4" w:space="0" w:color="auto"/>
              <w:left w:val="single" w:sz="4" w:space="0" w:color="auto"/>
              <w:bottom w:val="single" w:sz="4" w:space="0" w:color="auto"/>
              <w:right w:val="single" w:sz="4" w:space="0" w:color="auto"/>
            </w:tcBorders>
            <w:vAlign w:val="bottom"/>
            <w:hideMark/>
          </w:tcPr>
          <w:p w14:paraId="5215A044"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100,46</w:t>
            </w:r>
          </w:p>
        </w:tc>
        <w:tc>
          <w:tcPr>
            <w:tcW w:w="2146" w:type="dxa"/>
            <w:tcBorders>
              <w:top w:val="single" w:sz="4" w:space="0" w:color="auto"/>
              <w:left w:val="single" w:sz="4" w:space="0" w:color="auto"/>
              <w:bottom w:val="single" w:sz="4" w:space="0" w:color="auto"/>
              <w:right w:val="single" w:sz="4" w:space="0" w:color="auto"/>
            </w:tcBorders>
            <w:vAlign w:val="bottom"/>
            <w:hideMark/>
          </w:tcPr>
          <w:p w14:paraId="22B223E0"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99,18</w:t>
            </w:r>
          </w:p>
        </w:tc>
      </w:tr>
      <w:tr w:rsidR="007C32A8" w14:paraId="65CA5225"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3B5AC2BE"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H</w:t>
            </w:r>
          </w:p>
        </w:tc>
        <w:tc>
          <w:tcPr>
            <w:tcW w:w="3979" w:type="dxa"/>
            <w:tcBorders>
              <w:top w:val="single" w:sz="4" w:space="0" w:color="auto"/>
              <w:left w:val="single" w:sz="4" w:space="0" w:color="auto"/>
              <w:bottom w:val="single" w:sz="4" w:space="0" w:color="auto"/>
              <w:right w:val="single" w:sz="4" w:space="0" w:color="auto"/>
            </w:tcBorders>
            <w:vAlign w:val="bottom"/>
            <w:hideMark/>
          </w:tcPr>
          <w:p w14:paraId="23EDC645"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Транспортировка и хранение</w:t>
            </w:r>
          </w:p>
        </w:tc>
        <w:tc>
          <w:tcPr>
            <w:tcW w:w="2095" w:type="dxa"/>
            <w:tcBorders>
              <w:top w:val="single" w:sz="4" w:space="0" w:color="auto"/>
              <w:left w:val="single" w:sz="4" w:space="0" w:color="auto"/>
              <w:bottom w:val="single" w:sz="4" w:space="0" w:color="auto"/>
              <w:right w:val="single" w:sz="4" w:space="0" w:color="auto"/>
            </w:tcBorders>
            <w:vAlign w:val="bottom"/>
            <w:hideMark/>
          </w:tcPr>
          <w:p w14:paraId="73DC1756"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100,41</w:t>
            </w:r>
          </w:p>
        </w:tc>
        <w:tc>
          <w:tcPr>
            <w:tcW w:w="2146" w:type="dxa"/>
            <w:tcBorders>
              <w:top w:val="single" w:sz="4" w:space="0" w:color="auto"/>
              <w:left w:val="single" w:sz="4" w:space="0" w:color="auto"/>
              <w:bottom w:val="single" w:sz="4" w:space="0" w:color="auto"/>
              <w:right w:val="single" w:sz="4" w:space="0" w:color="auto"/>
            </w:tcBorders>
            <w:vAlign w:val="bottom"/>
            <w:hideMark/>
          </w:tcPr>
          <w:p w14:paraId="5D782903"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101,66</w:t>
            </w:r>
          </w:p>
        </w:tc>
      </w:tr>
      <w:tr w:rsidR="007C32A8" w14:paraId="0FBF581D"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1DBE5186"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I</w:t>
            </w:r>
          </w:p>
        </w:tc>
        <w:tc>
          <w:tcPr>
            <w:tcW w:w="3979" w:type="dxa"/>
            <w:tcBorders>
              <w:top w:val="single" w:sz="4" w:space="0" w:color="auto"/>
              <w:left w:val="single" w:sz="4" w:space="0" w:color="auto"/>
              <w:bottom w:val="single" w:sz="4" w:space="0" w:color="auto"/>
              <w:right w:val="single" w:sz="4" w:space="0" w:color="auto"/>
            </w:tcBorders>
            <w:vAlign w:val="bottom"/>
            <w:hideMark/>
          </w:tcPr>
          <w:p w14:paraId="294A53BA"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гостиниц и предприятий общественного питания</w:t>
            </w:r>
          </w:p>
        </w:tc>
        <w:tc>
          <w:tcPr>
            <w:tcW w:w="2095" w:type="dxa"/>
            <w:tcBorders>
              <w:top w:val="single" w:sz="4" w:space="0" w:color="auto"/>
              <w:left w:val="single" w:sz="4" w:space="0" w:color="auto"/>
              <w:bottom w:val="single" w:sz="4" w:space="0" w:color="auto"/>
              <w:right w:val="single" w:sz="4" w:space="0" w:color="auto"/>
            </w:tcBorders>
            <w:vAlign w:val="bottom"/>
            <w:hideMark/>
          </w:tcPr>
          <w:p w14:paraId="237ADC71"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99,22</w:t>
            </w:r>
          </w:p>
        </w:tc>
        <w:tc>
          <w:tcPr>
            <w:tcW w:w="2146" w:type="dxa"/>
            <w:tcBorders>
              <w:top w:val="single" w:sz="4" w:space="0" w:color="auto"/>
              <w:left w:val="single" w:sz="4" w:space="0" w:color="auto"/>
              <w:bottom w:val="single" w:sz="4" w:space="0" w:color="auto"/>
              <w:right w:val="single" w:sz="4" w:space="0" w:color="auto"/>
            </w:tcBorders>
            <w:vAlign w:val="bottom"/>
            <w:hideMark/>
          </w:tcPr>
          <w:p w14:paraId="3B6794AC"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100,02</w:t>
            </w:r>
          </w:p>
        </w:tc>
      </w:tr>
      <w:tr w:rsidR="007C32A8" w14:paraId="29863019"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3AA40AE8"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J</w:t>
            </w:r>
          </w:p>
        </w:tc>
        <w:tc>
          <w:tcPr>
            <w:tcW w:w="3979" w:type="dxa"/>
            <w:tcBorders>
              <w:top w:val="single" w:sz="4" w:space="0" w:color="auto"/>
              <w:left w:val="single" w:sz="4" w:space="0" w:color="auto"/>
              <w:bottom w:val="single" w:sz="4" w:space="0" w:color="auto"/>
              <w:right w:val="single" w:sz="4" w:space="0" w:color="auto"/>
            </w:tcBorders>
            <w:vAlign w:val="bottom"/>
            <w:hideMark/>
          </w:tcPr>
          <w:p w14:paraId="42432CDD"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в области информации и связи</w:t>
            </w:r>
          </w:p>
        </w:tc>
        <w:tc>
          <w:tcPr>
            <w:tcW w:w="2095" w:type="dxa"/>
            <w:tcBorders>
              <w:top w:val="single" w:sz="4" w:space="0" w:color="auto"/>
              <w:left w:val="single" w:sz="4" w:space="0" w:color="auto"/>
              <w:bottom w:val="single" w:sz="4" w:space="0" w:color="auto"/>
              <w:right w:val="single" w:sz="4" w:space="0" w:color="auto"/>
            </w:tcBorders>
            <w:vAlign w:val="bottom"/>
            <w:hideMark/>
          </w:tcPr>
          <w:p w14:paraId="261CF82C"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100,84</w:t>
            </w:r>
          </w:p>
        </w:tc>
        <w:tc>
          <w:tcPr>
            <w:tcW w:w="2146" w:type="dxa"/>
            <w:tcBorders>
              <w:top w:val="single" w:sz="4" w:space="0" w:color="auto"/>
              <w:left w:val="single" w:sz="4" w:space="0" w:color="auto"/>
              <w:bottom w:val="single" w:sz="4" w:space="0" w:color="auto"/>
              <w:right w:val="single" w:sz="4" w:space="0" w:color="auto"/>
            </w:tcBorders>
            <w:vAlign w:val="bottom"/>
            <w:hideMark/>
          </w:tcPr>
          <w:p w14:paraId="40697A50"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101,68</w:t>
            </w:r>
          </w:p>
        </w:tc>
      </w:tr>
      <w:tr w:rsidR="007C32A8" w14:paraId="6EF48DE0"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1BEFEB2D"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K</w:t>
            </w:r>
          </w:p>
        </w:tc>
        <w:tc>
          <w:tcPr>
            <w:tcW w:w="3979" w:type="dxa"/>
            <w:tcBorders>
              <w:top w:val="single" w:sz="4" w:space="0" w:color="auto"/>
              <w:left w:val="single" w:sz="4" w:space="0" w:color="auto"/>
              <w:bottom w:val="single" w:sz="4" w:space="0" w:color="auto"/>
              <w:right w:val="single" w:sz="4" w:space="0" w:color="auto"/>
            </w:tcBorders>
            <w:vAlign w:val="bottom"/>
            <w:hideMark/>
          </w:tcPr>
          <w:p w14:paraId="5E1DEABF"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финансовая и страховая</w:t>
            </w:r>
          </w:p>
        </w:tc>
        <w:tc>
          <w:tcPr>
            <w:tcW w:w="2095" w:type="dxa"/>
            <w:tcBorders>
              <w:top w:val="single" w:sz="4" w:space="0" w:color="auto"/>
              <w:left w:val="single" w:sz="4" w:space="0" w:color="auto"/>
              <w:bottom w:val="single" w:sz="4" w:space="0" w:color="auto"/>
              <w:right w:val="single" w:sz="4" w:space="0" w:color="auto"/>
            </w:tcBorders>
            <w:vAlign w:val="bottom"/>
            <w:hideMark/>
          </w:tcPr>
          <w:p w14:paraId="3CC39394"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104,03</w:t>
            </w:r>
          </w:p>
        </w:tc>
        <w:tc>
          <w:tcPr>
            <w:tcW w:w="2146" w:type="dxa"/>
            <w:tcBorders>
              <w:top w:val="single" w:sz="4" w:space="0" w:color="auto"/>
              <w:left w:val="single" w:sz="4" w:space="0" w:color="auto"/>
              <w:bottom w:val="single" w:sz="4" w:space="0" w:color="auto"/>
              <w:right w:val="single" w:sz="4" w:space="0" w:color="auto"/>
            </w:tcBorders>
            <w:vAlign w:val="bottom"/>
            <w:hideMark/>
          </w:tcPr>
          <w:p w14:paraId="360167B6"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102,62</w:t>
            </w:r>
          </w:p>
        </w:tc>
      </w:tr>
      <w:tr w:rsidR="007C32A8" w14:paraId="5E330760"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36F3C5A2"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L</w:t>
            </w:r>
          </w:p>
        </w:tc>
        <w:tc>
          <w:tcPr>
            <w:tcW w:w="3979" w:type="dxa"/>
            <w:tcBorders>
              <w:top w:val="single" w:sz="4" w:space="0" w:color="auto"/>
              <w:left w:val="single" w:sz="4" w:space="0" w:color="auto"/>
              <w:bottom w:val="single" w:sz="4" w:space="0" w:color="auto"/>
              <w:right w:val="single" w:sz="4" w:space="0" w:color="auto"/>
            </w:tcBorders>
            <w:vAlign w:val="bottom"/>
            <w:hideMark/>
          </w:tcPr>
          <w:p w14:paraId="40F1AA0C"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по операциям с недвижимым имуществом</w:t>
            </w:r>
          </w:p>
        </w:tc>
        <w:tc>
          <w:tcPr>
            <w:tcW w:w="2095" w:type="dxa"/>
            <w:tcBorders>
              <w:top w:val="single" w:sz="4" w:space="0" w:color="auto"/>
              <w:left w:val="single" w:sz="4" w:space="0" w:color="auto"/>
              <w:bottom w:val="single" w:sz="4" w:space="0" w:color="auto"/>
              <w:right w:val="single" w:sz="4" w:space="0" w:color="auto"/>
            </w:tcBorders>
            <w:vAlign w:val="bottom"/>
            <w:hideMark/>
          </w:tcPr>
          <w:p w14:paraId="1215722B"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102,85</w:t>
            </w:r>
          </w:p>
        </w:tc>
        <w:tc>
          <w:tcPr>
            <w:tcW w:w="2146" w:type="dxa"/>
            <w:tcBorders>
              <w:top w:val="single" w:sz="4" w:space="0" w:color="auto"/>
              <w:left w:val="single" w:sz="4" w:space="0" w:color="auto"/>
              <w:bottom w:val="single" w:sz="4" w:space="0" w:color="auto"/>
              <w:right w:val="single" w:sz="4" w:space="0" w:color="auto"/>
            </w:tcBorders>
            <w:vAlign w:val="bottom"/>
            <w:hideMark/>
          </w:tcPr>
          <w:p w14:paraId="5BC98CFF"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100,90</w:t>
            </w:r>
          </w:p>
        </w:tc>
      </w:tr>
      <w:tr w:rsidR="007C32A8" w14:paraId="347E4D5D"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66AEC790"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M</w:t>
            </w:r>
          </w:p>
        </w:tc>
        <w:tc>
          <w:tcPr>
            <w:tcW w:w="3979" w:type="dxa"/>
            <w:tcBorders>
              <w:top w:val="single" w:sz="4" w:space="0" w:color="auto"/>
              <w:left w:val="single" w:sz="4" w:space="0" w:color="auto"/>
              <w:bottom w:val="single" w:sz="4" w:space="0" w:color="auto"/>
              <w:right w:val="single" w:sz="4" w:space="0" w:color="auto"/>
            </w:tcBorders>
            <w:vAlign w:val="bottom"/>
            <w:hideMark/>
          </w:tcPr>
          <w:p w14:paraId="5A2AC969"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профессиональная, научная и техническая</w:t>
            </w:r>
          </w:p>
        </w:tc>
        <w:tc>
          <w:tcPr>
            <w:tcW w:w="2095" w:type="dxa"/>
            <w:tcBorders>
              <w:top w:val="single" w:sz="4" w:space="0" w:color="auto"/>
              <w:left w:val="single" w:sz="4" w:space="0" w:color="auto"/>
              <w:bottom w:val="single" w:sz="4" w:space="0" w:color="auto"/>
              <w:right w:val="single" w:sz="4" w:space="0" w:color="auto"/>
            </w:tcBorders>
            <w:vAlign w:val="bottom"/>
            <w:hideMark/>
          </w:tcPr>
          <w:p w14:paraId="367DA2C7"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102,79</w:t>
            </w:r>
          </w:p>
        </w:tc>
        <w:tc>
          <w:tcPr>
            <w:tcW w:w="2146" w:type="dxa"/>
            <w:tcBorders>
              <w:top w:val="single" w:sz="4" w:space="0" w:color="auto"/>
              <w:left w:val="single" w:sz="4" w:space="0" w:color="auto"/>
              <w:bottom w:val="single" w:sz="4" w:space="0" w:color="auto"/>
              <w:right w:val="single" w:sz="4" w:space="0" w:color="auto"/>
            </w:tcBorders>
            <w:vAlign w:val="bottom"/>
            <w:hideMark/>
          </w:tcPr>
          <w:p w14:paraId="0CDA79C6" w14:textId="77777777" w:rsidR="007C32A8" w:rsidRPr="007C32A8" w:rsidRDefault="007C32A8" w:rsidP="007C32A8">
            <w:pPr>
              <w:spacing w:line="256" w:lineRule="auto"/>
              <w:jc w:val="center"/>
              <w:rPr>
                <w:rFonts w:ascii="Times New Roman" w:hAnsi="Times New Roman" w:cs="Times New Roman"/>
                <w:b/>
                <w:bCs/>
                <w:szCs w:val="24"/>
              </w:rPr>
            </w:pPr>
            <w:r w:rsidRPr="007C32A8">
              <w:rPr>
                <w:rFonts w:ascii="Times New Roman" w:hAnsi="Times New Roman" w:cs="Times New Roman"/>
                <w:b/>
                <w:bCs/>
                <w:szCs w:val="24"/>
              </w:rPr>
              <w:t>105,57</w:t>
            </w:r>
          </w:p>
        </w:tc>
      </w:tr>
      <w:tr w:rsidR="007C32A8" w14:paraId="5BB651F8"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6C6AB79B"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N</w:t>
            </w:r>
          </w:p>
        </w:tc>
        <w:tc>
          <w:tcPr>
            <w:tcW w:w="3979" w:type="dxa"/>
            <w:tcBorders>
              <w:top w:val="single" w:sz="4" w:space="0" w:color="auto"/>
              <w:left w:val="single" w:sz="4" w:space="0" w:color="auto"/>
              <w:bottom w:val="single" w:sz="4" w:space="0" w:color="auto"/>
              <w:right w:val="single" w:sz="4" w:space="0" w:color="auto"/>
            </w:tcBorders>
            <w:vAlign w:val="bottom"/>
            <w:hideMark/>
          </w:tcPr>
          <w:p w14:paraId="5512B8CF"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административная и сопутствующие дополнительные услуги</w:t>
            </w:r>
          </w:p>
        </w:tc>
        <w:tc>
          <w:tcPr>
            <w:tcW w:w="2095" w:type="dxa"/>
            <w:tcBorders>
              <w:top w:val="single" w:sz="4" w:space="0" w:color="auto"/>
              <w:left w:val="single" w:sz="4" w:space="0" w:color="auto"/>
              <w:bottom w:val="single" w:sz="4" w:space="0" w:color="auto"/>
              <w:right w:val="single" w:sz="4" w:space="0" w:color="auto"/>
            </w:tcBorders>
            <w:vAlign w:val="bottom"/>
            <w:hideMark/>
          </w:tcPr>
          <w:p w14:paraId="4A48AEA5"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100,14</w:t>
            </w:r>
          </w:p>
        </w:tc>
        <w:tc>
          <w:tcPr>
            <w:tcW w:w="2146" w:type="dxa"/>
            <w:tcBorders>
              <w:top w:val="single" w:sz="4" w:space="0" w:color="auto"/>
              <w:left w:val="single" w:sz="4" w:space="0" w:color="auto"/>
              <w:bottom w:val="single" w:sz="4" w:space="0" w:color="auto"/>
              <w:right w:val="single" w:sz="4" w:space="0" w:color="auto"/>
            </w:tcBorders>
            <w:vAlign w:val="bottom"/>
            <w:hideMark/>
          </w:tcPr>
          <w:p w14:paraId="6160DACA"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101,00</w:t>
            </w:r>
          </w:p>
        </w:tc>
      </w:tr>
      <w:tr w:rsidR="007C32A8" w14:paraId="18D0E99A"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7C738815"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O</w:t>
            </w:r>
          </w:p>
        </w:tc>
        <w:tc>
          <w:tcPr>
            <w:tcW w:w="3979" w:type="dxa"/>
            <w:tcBorders>
              <w:top w:val="single" w:sz="4" w:space="0" w:color="auto"/>
              <w:left w:val="single" w:sz="4" w:space="0" w:color="auto"/>
              <w:bottom w:val="single" w:sz="4" w:space="0" w:color="auto"/>
              <w:right w:val="single" w:sz="4" w:space="0" w:color="auto"/>
            </w:tcBorders>
            <w:vAlign w:val="bottom"/>
            <w:hideMark/>
          </w:tcPr>
          <w:p w14:paraId="77388A88"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Государственное управление и обеспечение военной безопасности; социальное обеспечение</w:t>
            </w:r>
          </w:p>
        </w:tc>
        <w:tc>
          <w:tcPr>
            <w:tcW w:w="2095" w:type="dxa"/>
            <w:tcBorders>
              <w:top w:val="single" w:sz="4" w:space="0" w:color="auto"/>
              <w:left w:val="single" w:sz="4" w:space="0" w:color="auto"/>
              <w:bottom w:val="single" w:sz="4" w:space="0" w:color="auto"/>
              <w:right w:val="single" w:sz="4" w:space="0" w:color="auto"/>
            </w:tcBorders>
            <w:vAlign w:val="bottom"/>
            <w:hideMark/>
          </w:tcPr>
          <w:p w14:paraId="4F277BD1"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98,95</w:t>
            </w:r>
          </w:p>
        </w:tc>
        <w:tc>
          <w:tcPr>
            <w:tcW w:w="2146" w:type="dxa"/>
            <w:tcBorders>
              <w:top w:val="single" w:sz="4" w:space="0" w:color="auto"/>
              <w:left w:val="single" w:sz="4" w:space="0" w:color="auto"/>
              <w:bottom w:val="single" w:sz="4" w:space="0" w:color="auto"/>
              <w:right w:val="single" w:sz="4" w:space="0" w:color="auto"/>
            </w:tcBorders>
            <w:vAlign w:val="bottom"/>
            <w:hideMark/>
          </w:tcPr>
          <w:p w14:paraId="38C5D6DF"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101,54</w:t>
            </w:r>
          </w:p>
        </w:tc>
      </w:tr>
      <w:tr w:rsidR="007C32A8" w14:paraId="50819D5B"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219E8274"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P</w:t>
            </w:r>
          </w:p>
        </w:tc>
        <w:tc>
          <w:tcPr>
            <w:tcW w:w="3979" w:type="dxa"/>
            <w:tcBorders>
              <w:top w:val="single" w:sz="4" w:space="0" w:color="auto"/>
              <w:left w:val="single" w:sz="4" w:space="0" w:color="auto"/>
              <w:bottom w:val="single" w:sz="4" w:space="0" w:color="auto"/>
              <w:right w:val="single" w:sz="4" w:space="0" w:color="auto"/>
            </w:tcBorders>
            <w:vAlign w:val="bottom"/>
            <w:hideMark/>
          </w:tcPr>
          <w:p w14:paraId="58FF56E2"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Образование</w:t>
            </w:r>
          </w:p>
        </w:tc>
        <w:tc>
          <w:tcPr>
            <w:tcW w:w="2095" w:type="dxa"/>
            <w:tcBorders>
              <w:top w:val="single" w:sz="4" w:space="0" w:color="auto"/>
              <w:left w:val="single" w:sz="4" w:space="0" w:color="auto"/>
              <w:bottom w:val="single" w:sz="4" w:space="0" w:color="auto"/>
              <w:right w:val="single" w:sz="4" w:space="0" w:color="auto"/>
            </w:tcBorders>
            <w:vAlign w:val="bottom"/>
            <w:hideMark/>
          </w:tcPr>
          <w:p w14:paraId="56B50586"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101,44</w:t>
            </w:r>
          </w:p>
        </w:tc>
        <w:tc>
          <w:tcPr>
            <w:tcW w:w="2146" w:type="dxa"/>
            <w:tcBorders>
              <w:top w:val="single" w:sz="4" w:space="0" w:color="auto"/>
              <w:left w:val="single" w:sz="4" w:space="0" w:color="auto"/>
              <w:bottom w:val="single" w:sz="4" w:space="0" w:color="auto"/>
              <w:right w:val="single" w:sz="4" w:space="0" w:color="auto"/>
            </w:tcBorders>
            <w:vAlign w:val="bottom"/>
            <w:hideMark/>
          </w:tcPr>
          <w:p w14:paraId="79A1D552"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100,05</w:t>
            </w:r>
          </w:p>
        </w:tc>
      </w:tr>
      <w:tr w:rsidR="007C32A8" w14:paraId="638B108C"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177E7B8F"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Q</w:t>
            </w:r>
          </w:p>
        </w:tc>
        <w:tc>
          <w:tcPr>
            <w:tcW w:w="3979" w:type="dxa"/>
            <w:tcBorders>
              <w:top w:val="single" w:sz="4" w:space="0" w:color="auto"/>
              <w:left w:val="single" w:sz="4" w:space="0" w:color="auto"/>
              <w:bottom w:val="single" w:sz="4" w:space="0" w:color="auto"/>
              <w:right w:val="single" w:sz="4" w:space="0" w:color="auto"/>
            </w:tcBorders>
            <w:vAlign w:val="bottom"/>
            <w:hideMark/>
          </w:tcPr>
          <w:p w14:paraId="6A56EC12"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Деятельность в области здравоохранения и социальных услуг</w:t>
            </w:r>
          </w:p>
        </w:tc>
        <w:tc>
          <w:tcPr>
            <w:tcW w:w="2095" w:type="dxa"/>
            <w:tcBorders>
              <w:top w:val="single" w:sz="4" w:space="0" w:color="auto"/>
              <w:left w:val="single" w:sz="4" w:space="0" w:color="auto"/>
              <w:bottom w:val="single" w:sz="4" w:space="0" w:color="auto"/>
              <w:right w:val="single" w:sz="4" w:space="0" w:color="auto"/>
            </w:tcBorders>
            <w:vAlign w:val="bottom"/>
            <w:hideMark/>
          </w:tcPr>
          <w:p w14:paraId="23AB678D"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100,20</w:t>
            </w:r>
          </w:p>
        </w:tc>
        <w:tc>
          <w:tcPr>
            <w:tcW w:w="2146" w:type="dxa"/>
            <w:tcBorders>
              <w:top w:val="single" w:sz="4" w:space="0" w:color="auto"/>
              <w:left w:val="single" w:sz="4" w:space="0" w:color="auto"/>
              <w:bottom w:val="single" w:sz="4" w:space="0" w:color="auto"/>
              <w:right w:val="single" w:sz="4" w:space="0" w:color="auto"/>
            </w:tcBorders>
            <w:vAlign w:val="bottom"/>
            <w:hideMark/>
          </w:tcPr>
          <w:p w14:paraId="01B04D1D"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101,01</w:t>
            </w:r>
          </w:p>
        </w:tc>
      </w:tr>
      <w:tr w:rsidR="007C32A8" w14:paraId="49D03A9F" w14:textId="77777777" w:rsidTr="007C32A8">
        <w:trPr>
          <w:trHeight w:val="525"/>
        </w:trPr>
        <w:tc>
          <w:tcPr>
            <w:tcW w:w="1119" w:type="dxa"/>
            <w:tcBorders>
              <w:top w:val="single" w:sz="4" w:space="0" w:color="auto"/>
              <w:left w:val="single" w:sz="4" w:space="0" w:color="auto"/>
              <w:bottom w:val="single" w:sz="4" w:space="0" w:color="auto"/>
              <w:right w:val="single" w:sz="4" w:space="0" w:color="auto"/>
            </w:tcBorders>
            <w:vAlign w:val="bottom"/>
            <w:hideMark/>
          </w:tcPr>
          <w:p w14:paraId="6906C1D8"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Раздел S</w:t>
            </w:r>
          </w:p>
        </w:tc>
        <w:tc>
          <w:tcPr>
            <w:tcW w:w="3979" w:type="dxa"/>
            <w:tcBorders>
              <w:top w:val="single" w:sz="4" w:space="0" w:color="auto"/>
              <w:left w:val="single" w:sz="4" w:space="0" w:color="auto"/>
              <w:bottom w:val="single" w:sz="4" w:space="0" w:color="auto"/>
              <w:right w:val="single" w:sz="4" w:space="0" w:color="auto"/>
            </w:tcBorders>
            <w:vAlign w:val="bottom"/>
            <w:hideMark/>
          </w:tcPr>
          <w:p w14:paraId="43477D65" w14:textId="77777777" w:rsidR="007C32A8" w:rsidRPr="007C32A8" w:rsidRDefault="007C32A8" w:rsidP="007C32A8">
            <w:pPr>
              <w:spacing w:line="256" w:lineRule="auto"/>
              <w:rPr>
                <w:rFonts w:ascii="Times New Roman" w:hAnsi="Times New Roman" w:cs="Times New Roman"/>
                <w:szCs w:val="24"/>
              </w:rPr>
            </w:pPr>
            <w:r w:rsidRPr="007C32A8">
              <w:rPr>
                <w:rFonts w:ascii="Times New Roman" w:hAnsi="Times New Roman" w:cs="Times New Roman"/>
                <w:szCs w:val="24"/>
              </w:rPr>
              <w:t>Предоставление прочих видов услуг</w:t>
            </w:r>
          </w:p>
        </w:tc>
        <w:tc>
          <w:tcPr>
            <w:tcW w:w="2095" w:type="dxa"/>
            <w:tcBorders>
              <w:top w:val="single" w:sz="4" w:space="0" w:color="auto"/>
              <w:left w:val="single" w:sz="4" w:space="0" w:color="auto"/>
              <w:bottom w:val="single" w:sz="4" w:space="0" w:color="auto"/>
              <w:right w:val="single" w:sz="4" w:space="0" w:color="auto"/>
            </w:tcBorders>
            <w:vAlign w:val="bottom"/>
            <w:hideMark/>
          </w:tcPr>
          <w:p w14:paraId="28A2642F"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100,16</w:t>
            </w:r>
          </w:p>
        </w:tc>
        <w:tc>
          <w:tcPr>
            <w:tcW w:w="2146" w:type="dxa"/>
            <w:tcBorders>
              <w:top w:val="single" w:sz="4" w:space="0" w:color="auto"/>
              <w:left w:val="single" w:sz="4" w:space="0" w:color="auto"/>
              <w:bottom w:val="single" w:sz="4" w:space="0" w:color="auto"/>
              <w:right w:val="single" w:sz="4" w:space="0" w:color="auto"/>
            </w:tcBorders>
            <w:vAlign w:val="bottom"/>
            <w:hideMark/>
          </w:tcPr>
          <w:p w14:paraId="78EA2667" w14:textId="77777777" w:rsidR="007C32A8" w:rsidRPr="007C32A8" w:rsidRDefault="007C32A8" w:rsidP="007C32A8">
            <w:pPr>
              <w:spacing w:line="256" w:lineRule="auto"/>
              <w:jc w:val="center"/>
              <w:rPr>
                <w:rFonts w:ascii="Times New Roman" w:hAnsi="Times New Roman" w:cs="Times New Roman"/>
                <w:szCs w:val="24"/>
              </w:rPr>
            </w:pPr>
            <w:r w:rsidRPr="007C32A8">
              <w:rPr>
                <w:rFonts w:ascii="Times New Roman" w:hAnsi="Times New Roman" w:cs="Times New Roman"/>
                <w:szCs w:val="24"/>
              </w:rPr>
              <w:t>100,65</w:t>
            </w:r>
          </w:p>
        </w:tc>
      </w:tr>
      <w:tr w:rsidR="007C32A8" w14:paraId="181E2851" w14:textId="77777777" w:rsidTr="007C32A8">
        <w:tc>
          <w:tcPr>
            <w:tcW w:w="1119" w:type="dxa"/>
            <w:tcBorders>
              <w:top w:val="single" w:sz="4" w:space="0" w:color="auto"/>
              <w:left w:val="single" w:sz="4" w:space="0" w:color="auto"/>
              <w:bottom w:val="single" w:sz="4" w:space="0" w:color="auto"/>
              <w:right w:val="single" w:sz="4" w:space="0" w:color="auto"/>
            </w:tcBorders>
            <w:vAlign w:val="bottom"/>
            <w:hideMark/>
          </w:tcPr>
          <w:p w14:paraId="5465D3AE" w14:textId="77777777" w:rsidR="007C32A8" w:rsidRPr="007C32A8" w:rsidRDefault="007C32A8" w:rsidP="007C32A8">
            <w:pPr>
              <w:spacing w:line="256" w:lineRule="auto"/>
              <w:rPr>
                <w:rFonts w:ascii="Times New Roman" w:hAnsi="Times New Roman" w:cs="Times New Roman"/>
                <w:b/>
                <w:szCs w:val="24"/>
              </w:rPr>
            </w:pPr>
            <w:r w:rsidRPr="007C32A8">
              <w:rPr>
                <w:rFonts w:ascii="Times New Roman" w:hAnsi="Times New Roman" w:cs="Times New Roman"/>
                <w:b/>
                <w:szCs w:val="24"/>
              </w:rPr>
              <w:t>ВСЕГО</w:t>
            </w:r>
          </w:p>
        </w:tc>
        <w:tc>
          <w:tcPr>
            <w:tcW w:w="3979" w:type="dxa"/>
            <w:tcBorders>
              <w:top w:val="single" w:sz="4" w:space="0" w:color="auto"/>
              <w:left w:val="single" w:sz="4" w:space="0" w:color="auto"/>
              <w:bottom w:val="single" w:sz="4" w:space="0" w:color="auto"/>
              <w:right w:val="single" w:sz="4" w:space="0" w:color="auto"/>
            </w:tcBorders>
            <w:vAlign w:val="bottom"/>
          </w:tcPr>
          <w:p w14:paraId="6176A5F5" w14:textId="77777777" w:rsidR="007C32A8" w:rsidRPr="007C32A8" w:rsidRDefault="007C32A8" w:rsidP="007C32A8">
            <w:pPr>
              <w:spacing w:line="256" w:lineRule="auto"/>
              <w:rPr>
                <w:rFonts w:ascii="Times New Roman" w:hAnsi="Times New Roman" w:cs="Times New Roman"/>
                <w:b/>
                <w:szCs w:val="24"/>
              </w:rPr>
            </w:pPr>
          </w:p>
        </w:tc>
        <w:tc>
          <w:tcPr>
            <w:tcW w:w="2095" w:type="dxa"/>
            <w:tcBorders>
              <w:top w:val="single" w:sz="4" w:space="0" w:color="auto"/>
              <w:left w:val="single" w:sz="4" w:space="0" w:color="auto"/>
              <w:bottom w:val="single" w:sz="4" w:space="0" w:color="auto"/>
              <w:right w:val="single" w:sz="4" w:space="0" w:color="auto"/>
            </w:tcBorders>
            <w:vAlign w:val="bottom"/>
            <w:hideMark/>
          </w:tcPr>
          <w:p w14:paraId="1FC9897D" w14:textId="77777777" w:rsidR="007C32A8" w:rsidRPr="007C32A8" w:rsidRDefault="007C32A8" w:rsidP="007C32A8">
            <w:pPr>
              <w:spacing w:line="256" w:lineRule="auto"/>
              <w:jc w:val="center"/>
              <w:rPr>
                <w:rFonts w:ascii="Times New Roman" w:hAnsi="Times New Roman" w:cs="Times New Roman"/>
                <w:b/>
                <w:szCs w:val="24"/>
              </w:rPr>
            </w:pPr>
            <w:r w:rsidRPr="007C32A8">
              <w:rPr>
                <w:rFonts w:ascii="Times New Roman" w:hAnsi="Times New Roman" w:cs="Times New Roman"/>
                <w:b/>
                <w:szCs w:val="24"/>
              </w:rPr>
              <w:t>100,87</w:t>
            </w:r>
          </w:p>
        </w:tc>
        <w:tc>
          <w:tcPr>
            <w:tcW w:w="2146" w:type="dxa"/>
            <w:tcBorders>
              <w:top w:val="single" w:sz="4" w:space="0" w:color="auto"/>
              <w:left w:val="single" w:sz="4" w:space="0" w:color="auto"/>
              <w:bottom w:val="single" w:sz="4" w:space="0" w:color="auto"/>
              <w:right w:val="single" w:sz="4" w:space="0" w:color="auto"/>
            </w:tcBorders>
            <w:vAlign w:val="bottom"/>
            <w:hideMark/>
          </w:tcPr>
          <w:p w14:paraId="11AC3FF4" w14:textId="77777777" w:rsidR="007C32A8" w:rsidRPr="007C32A8" w:rsidRDefault="007C32A8" w:rsidP="007C32A8">
            <w:pPr>
              <w:spacing w:line="256" w:lineRule="auto"/>
              <w:jc w:val="center"/>
              <w:rPr>
                <w:rFonts w:ascii="Times New Roman" w:hAnsi="Times New Roman" w:cs="Times New Roman"/>
                <w:b/>
                <w:szCs w:val="24"/>
              </w:rPr>
            </w:pPr>
            <w:r w:rsidRPr="007C32A8">
              <w:rPr>
                <w:rFonts w:ascii="Times New Roman" w:hAnsi="Times New Roman" w:cs="Times New Roman"/>
                <w:b/>
                <w:szCs w:val="24"/>
              </w:rPr>
              <w:t>101,77</w:t>
            </w:r>
          </w:p>
        </w:tc>
      </w:tr>
    </w:tbl>
    <w:p w14:paraId="57FD7980" w14:textId="5CFF01E4" w:rsidR="007C32A8" w:rsidRPr="007C32A8" w:rsidRDefault="007C32A8" w:rsidP="007C32A8">
      <w:pPr>
        <w:ind w:firstLine="567"/>
        <w:rPr>
          <w:rFonts w:ascii="Times New Roman" w:hAnsi="Times New Roman" w:cs="Times New Roman"/>
          <w:i/>
        </w:rPr>
      </w:pPr>
      <w:r w:rsidRPr="007C32A8">
        <w:rPr>
          <w:rFonts w:ascii="Times New Roman" w:hAnsi="Times New Roman" w:cs="Times New Roman"/>
          <w:i/>
        </w:rPr>
        <w:t xml:space="preserve">Источник: Росстат, расчеты </w:t>
      </w:r>
      <w:r w:rsidR="00351D97">
        <w:rPr>
          <w:rFonts w:ascii="Times New Roman" w:hAnsi="Times New Roman" w:cs="Times New Roman"/>
          <w:i/>
        </w:rPr>
        <w:t>ИНП РАН</w:t>
      </w:r>
    </w:p>
    <w:p w14:paraId="322B07AE" w14:textId="77777777" w:rsidR="007C32A8" w:rsidRPr="007C32A8" w:rsidRDefault="007C32A8" w:rsidP="007C32A8">
      <w:pPr>
        <w:spacing w:line="276" w:lineRule="auto"/>
        <w:ind w:firstLine="567"/>
        <w:jc w:val="both"/>
        <w:rPr>
          <w:rFonts w:ascii="Times New Roman" w:hAnsi="Times New Roman" w:cs="Times New Roman"/>
          <w:sz w:val="28"/>
          <w:szCs w:val="28"/>
        </w:rPr>
      </w:pPr>
    </w:p>
    <w:p w14:paraId="37D2726E"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Низкий уровень оплаты труда может создавать определенные конъюнктурные конкурентные преимущества для экономики, однако сохранение относительно низкого уровня заработной платы на длительных временных интервалах снижает уровень жизни населения и качество человеческого капитала, тормозит рост экономики (поскольку приводит к ограничению роста спроса населения). </w:t>
      </w:r>
    </w:p>
    <w:p w14:paraId="1F7CC619"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Сравнение заработной платы в России и других странах</w:t>
      </w:r>
      <w:r>
        <w:rPr>
          <w:vertAlign w:val="superscript"/>
        </w:rPr>
        <w:footnoteReference w:id="22"/>
      </w:r>
      <w:r w:rsidRPr="007C32A8">
        <w:rPr>
          <w:rFonts w:ascii="Times New Roman" w:hAnsi="Times New Roman" w:cs="Times New Roman"/>
          <w:sz w:val="28"/>
          <w:szCs w:val="28"/>
        </w:rPr>
        <w:t xml:space="preserve"> показывает, что в 2014 г в России оплата труда значительно отставала от уровня западных стран, однако была выше уровня Китая. </w:t>
      </w:r>
    </w:p>
    <w:p w14:paraId="10C86249"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Обращает на себя внимание тот факт, что переход к расчетам по ППС приблизительно в два раза повышает уровень заработной платы в нашей стране, а, следовательно, и другие показатели эффективности и конкурентоспособности нашей экономики. Различия между текущим обменным курсом и ППС связаны с разрывами в качестве продукции и уровнях цен на внутреннем и мировом рынке. </w:t>
      </w:r>
    </w:p>
    <w:p w14:paraId="726F3CA5"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Уровень заработной платы в целом по экономике России, рассчитанный по номинальному курсу доллара, в 2014 г был в 3,8 раз ниже, чем в Германии</w:t>
      </w:r>
      <w:r>
        <w:rPr>
          <w:rStyle w:val="ad"/>
          <w:rFonts w:ascii="Times New Roman" w:hAnsi="Times New Roman" w:cs="Times New Roman"/>
          <w:sz w:val="28"/>
          <w:szCs w:val="28"/>
        </w:rPr>
        <w:footnoteReference w:id="23"/>
      </w:r>
      <w:r w:rsidRPr="007C32A8">
        <w:rPr>
          <w:rFonts w:ascii="Times New Roman" w:hAnsi="Times New Roman" w:cs="Times New Roman"/>
          <w:sz w:val="28"/>
          <w:szCs w:val="28"/>
        </w:rPr>
        <w:t>, в 3,1 раза ниже, чем в Японии и в 4,6 раз ниже, чем в США, при этом уровень заработной платы в Китае в 2014 г составлял 49% от уровня оплаты труда в России. Аналогичные соотношения, рассчитанные с использованием ППС, свидетельствует о том, что уровень заработной платы в России в 2014 г был в два раза ниже, чем в Германии, в 1,75 раз ниже, чем в Японии и в 2,6 раз ниже, чем в США. Уровень заработной платы в Китае при таком расчете составлял 29% от уровня оплаты труда в России.</w:t>
      </w:r>
    </w:p>
    <w:p w14:paraId="307673A3"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Если исходить из того, что уровень заработной платы как показатель отражает, в том числе эффективность экономики, то, согласно </w:t>
      </w:r>
      <w:proofErr w:type="spellStart"/>
      <w:r w:rsidRPr="007C32A8">
        <w:rPr>
          <w:rFonts w:ascii="Times New Roman" w:hAnsi="Times New Roman" w:cs="Times New Roman"/>
          <w:sz w:val="28"/>
          <w:szCs w:val="28"/>
        </w:rPr>
        <w:t>межстрановым</w:t>
      </w:r>
      <w:proofErr w:type="spellEnd"/>
      <w:r w:rsidRPr="007C32A8">
        <w:rPr>
          <w:rFonts w:ascii="Times New Roman" w:hAnsi="Times New Roman" w:cs="Times New Roman"/>
          <w:sz w:val="28"/>
          <w:szCs w:val="28"/>
        </w:rPr>
        <w:t xml:space="preserve"> сопоставлениям, наиболее эффективной крупной экономикой следует признать экономику США, затем идет Германия, Япония и </w:t>
      </w:r>
      <w:proofErr w:type="gramStart"/>
      <w:r w:rsidRPr="007C32A8">
        <w:rPr>
          <w:rFonts w:ascii="Times New Roman" w:hAnsi="Times New Roman" w:cs="Times New Roman"/>
          <w:sz w:val="28"/>
          <w:szCs w:val="28"/>
        </w:rPr>
        <w:t>т.д.</w:t>
      </w:r>
      <w:proofErr w:type="gramEnd"/>
      <w:r w:rsidRPr="007C32A8">
        <w:rPr>
          <w:rFonts w:ascii="Times New Roman" w:hAnsi="Times New Roman" w:cs="Times New Roman"/>
          <w:sz w:val="28"/>
          <w:szCs w:val="28"/>
        </w:rPr>
        <w:t xml:space="preserve"> Дальнейшие сравнения будем проводить с эталонной американской экономикой</w:t>
      </w:r>
      <w:r>
        <w:rPr>
          <w:rStyle w:val="ad"/>
          <w:rFonts w:ascii="Times New Roman" w:hAnsi="Times New Roman" w:cs="Times New Roman"/>
          <w:sz w:val="28"/>
          <w:szCs w:val="28"/>
        </w:rPr>
        <w:footnoteReference w:id="24"/>
      </w:r>
      <w:r w:rsidRPr="007C32A8">
        <w:rPr>
          <w:rFonts w:ascii="Times New Roman" w:hAnsi="Times New Roman" w:cs="Times New Roman"/>
          <w:sz w:val="28"/>
          <w:szCs w:val="28"/>
        </w:rPr>
        <w:t xml:space="preserve"> (табл. 5.2).</w:t>
      </w:r>
    </w:p>
    <w:p w14:paraId="4B3F0B0E"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К секторам, где зарплата в наибольшей степени отстает от уровня оплаты труда США, относятся производство текстильных изделий (где заработная плата в 10,5 раз ниже, чем в США (по текущему обменному курсу) и в 9,1 раз ниже – по ППС), производство компьютерной, электронной и оптической продукции (в 9,2 раза и 7,6 раз ниже соответственно), сельское хозяйство (в 8,7 и 5,8 раз ниже соответственно), производство машин и оборудования (в 8,3 раза и 6,6 раз ниже соответственно), производство древесины и изделий из дерева (в 8,2 раза и в 7,1 раз ниже соответственно), образование (в 6,2 раза и в 1,4 раза ниже соответственно), розничная торговля (в 5,8 раз и в 3,9 раза ниже соответственно).</w:t>
      </w:r>
    </w:p>
    <w:p w14:paraId="4C9805EE"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Уровень производительности труда в этих секторах ниже среднего по экономике России: в производстве электрооборудования – 78% в 2017 г., в оптовой и розничной торговле – 72%, в сельском хозяйстве это 71%, в производстве машин и оборудования – 71%, в производстве медицинского, точно и оптического оборудования – 62%, в текстильной промышленности – 50%, в образовании – 23% (табл. 5.4). Таким образом, подтверждается справедливость тезиса о низкой эффективности использования занятых в секторах с низким уровнем оплаты труда. </w:t>
      </w:r>
    </w:p>
    <w:p w14:paraId="7F28603C"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Работники указанных сфер деятельности у нас в стране получают существенно меньше, чем в развитых странах. И это прямое следствие того, что наша экономика в целом порождает существенно меньший уровень доходов, чем крупные развитые экономики мира. </w:t>
      </w:r>
    </w:p>
    <w:p w14:paraId="4B00E9C3"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Единственный способ исправить ситуацию – повысить продуктивность нашей экономики. И это уже проблема экономического роста, развития, структурного и технологического обновления производства. </w:t>
      </w:r>
    </w:p>
    <w:p w14:paraId="7D14C35D" w14:textId="77777777" w:rsidR="007C32A8" w:rsidRPr="007C32A8" w:rsidRDefault="007C32A8" w:rsidP="007C32A8">
      <w:pPr>
        <w:spacing w:line="276" w:lineRule="auto"/>
        <w:ind w:firstLine="567"/>
        <w:jc w:val="center"/>
        <w:rPr>
          <w:rFonts w:ascii="Times New Roman" w:hAnsi="Times New Roman" w:cs="Times New Roman"/>
          <w:sz w:val="28"/>
          <w:szCs w:val="28"/>
        </w:rPr>
      </w:pPr>
      <w:r w:rsidRPr="007C32A8">
        <w:rPr>
          <w:rFonts w:ascii="Times New Roman" w:hAnsi="Times New Roman" w:cs="Times New Roman"/>
          <w:sz w:val="28"/>
          <w:szCs w:val="28"/>
        </w:rPr>
        <w:t>Таблица 5.2. Соотношение заработной платы в России и США (Россия = 1), 2014 г.</w:t>
      </w:r>
    </w:p>
    <w:tbl>
      <w:tblPr>
        <w:tblW w:w="0" w:type="auto"/>
        <w:tblLook w:val="04A0" w:firstRow="1" w:lastRow="0" w:firstColumn="1" w:lastColumn="0" w:noHBand="0" w:noVBand="1"/>
      </w:tblPr>
      <w:tblGrid>
        <w:gridCol w:w="4673"/>
        <w:gridCol w:w="1488"/>
        <w:gridCol w:w="1568"/>
        <w:gridCol w:w="1610"/>
      </w:tblGrid>
      <w:tr w:rsidR="007C32A8" w14:paraId="0BA0EEA5" w14:textId="77777777" w:rsidTr="007C32A8">
        <w:tc>
          <w:tcPr>
            <w:tcW w:w="4673" w:type="dxa"/>
            <w:tcBorders>
              <w:top w:val="single" w:sz="4" w:space="0" w:color="auto"/>
              <w:left w:val="single" w:sz="4" w:space="0" w:color="auto"/>
              <w:bottom w:val="single" w:sz="4" w:space="0" w:color="auto"/>
              <w:right w:val="single" w:sz="4" w:space="0" w:color="auto"/>
            </w:tcBorders>
            <w:vAlign w:val="bottom"/>
          </w:tcPr>
          <w:p w14:paraId="2097CBB6" w14:textId="77777777" w:rsidR="007C32A8" w:rsidRPr="007C32A8" w:rsidRDefault="007C32A8" w:rsidP="007C32A8">
            <w:pPr>
              <w:spacing w:line="276" w:lineRule="auto"/>
              <w:jc w:val="center"/>
              <w:rPr>
                <w:rFonts w:ascii="Times New Roman" w:hAnsi="Times New Roman" w:cs="Times New Roman"/>
                <w:sz w:val="20"/>
                <w:szCs w:val="20"/>
              </w:rPr>
            </w:pPr>
          </w:p>
        </w:tc>
        <w:tc>
          <w:tcPr>
            <w:tcW w:w="1488" w:type="dxa"/>
            <w:tcBorders>
              <w:top w:val="single" w:sz="4" w:space="0" w:color="auto"/>
              <w:left w:val="single" w:sz="4" w:space="0" w:color="auto"/>
              <w:bottom w:val="single" w:sz="4" w:space="0" w:color="auto"/>
              <w:right w:val="single" w:sz="4" w:space="0" w:color="auto"/>
            </w:tcBorders>
            <w:vAlign w:val="bottom"/>
            <w:hideMark/>
          </w:tcPr>
          <w:p w14:paraId="7A6EC19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b/>
                <w:bCs/>
                <w:color w:val="000000"/>
                <w:sz w:val="20"/>
                <w:szCs w:val="20"/>
              </w:rPr>
              <w:t>По ППС</w:t>
            </w:r>
          </w:p>
        </w:tc>
        <w:tc>
          <w:tcPr>
            <w:tcW w:w="1568" w:type="dxa"/>
            <w:tcBorders>
              <w:top w:val="single" w:sz="4" w:space="0" w:color="auto"/>
              <w:left w:val="single" w:sz="4" w:space="0" w:color="auto"/>
              <w:bottom w:val="single" w:sz="4" w:space="0" w:color="auto"/>
              <w:right w:val="single" w:sz="4" w:space="0" w:color="auto"/>
            </w:tcBorders>
            <w:vAlign w:val="bottom"/>
            <w:hideMark/>
          </w:tcPr>
          <w:p w14:paraId="0605616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b/>
                <w:bCs/>
                <w:color w:val="000000"/>
                <w:sz w:val="20"/>
                <w:szCs w:val="20"/>
              </w:rPr>
              <w:t>По номинальному курсу $</w:t>
            </w:r>
          </w:p>
        </w:tc>
        <w:tc>
          <w:tcPr>
            <w:tcW w:w="1610" w:type="dxa"/>
            <w:tcBorders>
              <w:top w:val="single" w:sz="4" w:space="0" w:color="auto"/>
              <w:left w:val="single" w:sz="4" w:space="0" w:color="auto"/>
              <w:bottom w:val="single" w:sz="4" w:space="0" w:color="auto"/>
              <w:right w:val="single" w:sz="4" w:space="0" w:color="auto"/>
            </w:tcBorders>
            <w:vAlign w:val="bottom"/>
            <w:hideMark/>
          </w:tcPr>
          <w:p w14:paraId="1775574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b/>
                <w:bCs/>
                <w:color w:val="000000"/>
                <w:sz w:val="20"/>
                <w:szCs w:val="20"/>
              </w:rPr>
              <w:t>Сопоставимый уровень цен (США=100%)</w:t>
            </w:r>
          </w:p>
        </w:tc>
      </w:tr>
      <w:tr w:rsidR="007C32A8" w14:paraId="4FFA541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37EFF2DA"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sz w:val="20"/>
                <w:szCs w:val="20"/>
              </w:rPr>
              <w:t>Сельское хозяйство, охота, лесное хозяйство и рыболовство</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B4476E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5,81</w:t>
            </w:r>
          </w:p>
        </w:tc>
        <w:tc>
          <w:tcPr>
            <w:tcW w:w="1568" w:type="dxa"/>
            <w:tcBorders>
              <w:top w:val="single" w:sz="4" w:space="0" w:color="auto"/>
              <w:left w:val="single" w:sz="4" w:space="0" w:color="auto"/>
              <w:bottom w:val="single" w:sz="4" w:space="0" w:color="auto"/>
              <w:right w:val="single" w:sz="4" w:space="0" w:color="auto"/>
            </w:tcBorders>
            <w:vAlign w:val="bottom"/>
            <w:hideMark/>
          </w:tcPr>
          <w:p w14:paraId="5C92505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8,73</w:t>
            </w:r>
          </w:p>
        </w:tc>
        <w:tc>
          <w:tcPr>
            <w:tcW w:w="1610" w:type="dxa"/>
            <w:tcBorders>
              <w:top w:val="single" w:sz="4" w:space="0" w:color="auto"/>
              <w:left w:val="single" w:sz="4" w:space="0" w:color="auto"/>
              <w:bottom w:val="single" w:sz="4" w:space="0" w:color="auto"/>
              <w:right w:val="single" w:sz="4" w:space="0" w:color="auto"/>
            </w:tcBorders>
            <w:vAlign w:val="bottom"/>
            <w:hideMark/>
          </w:tcPr>
          <w:p w14:paraId="7421CE7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66,5%</w:t>
            </w:r>
          </w:p>
        </w:tc>
      </w:tr>
      <w:tr w:rsidR="007C32A8" w14:paraId="77A0579C"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177E9D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Добыча полезных ископаемых и разработка карьеров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053AD6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4,54</w:t>
            </w:r>
          </w:p>
        </w:tc>
        <w:tc>
          <w:tcPr>
            <w:tcW w:w="1568" w:type="dxa"/>
            <w:tcBorders>
              <w:top w:val="single" w:sz="4" w:space="0" w:color="auto"/>
              <w:left w:val="single" w:sz="4" w:space="0" w:color="auto"/>
              <w:bottom w:val="single" w:sz="4" w:space="0" w:color="auto"/>
              <w:right w:val="single" w:sz="4" w:space="0" w:color="auto"/>
            </w:tcBorders>
            <w:vAlign w:val="bottom"/>
            <w:hideMark/>
          </w:tcPr>
          <w:p w14:paraId="252F6A3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4,88</w:t>
            </w:r>
          </w:p>
        </w:tc>
        <w:tc>
          <w:tcPr>
            <w:tcW w:w="1610" w:type="dxa"/>
            <w:tcBorders>
              <w:top w:val="single" w:sz="4" w:space="0" w:color="auto"/>
              <w:left w:val="single" w:sz="4" w:space="0" w:color="auto"/>
              <w:bottom w:val="single" w:sz="4" w:space="0" w:color="auto"/>
              <w:right w:val="single" w:sz="4" w:space="0" w:color="auto"/>
            </w:tcBorders>
            <w:vAlign w:val="bottom"/>
            <w:hideMark/>
          </w:tcPr>
          <w:p w14:paraId="270B4D4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93,0%</w:t>
            </w:r>
          </w:p>
        </w:tc>
      </w:tr>
      <w:tr w:rsidR="007C32A8" w14:paraId="22C48DB8"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D4DEC10"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пищевых продуктов, напитков и табачных изделий</w:t>
            </w:r>
          </w:p>
        </w:tc>
        <w:tc>
          <w:tcPr>
            <w:tcW w:w="1488" w:type="dxa"/>
            <w:tcBorders>
              <w:top w:val="single" w:sz="4" w:space="0" w:color="auto"/>
              <w:left w:val="single" w:sz="4" w:space="0" w:color="auto"/>
              <w:bottom w:val="single" w:sz="4" w:space="0" w:color="auto"/>
              <w:right w:val="single" w:sz="4" w:space="0" w:color="auto"/>
            </w:tcBorders>
            <w:vAlign w:val="bottom"/>
            <w:hideMark/>
          </w:tcPr>
          <w:p w14:paraId="11660D5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4,43</w:t>
            </w:r>
          </w:p>
        </w:tc>
        <w:tc>
          <w:tcPr>
            <w:tcW w:w="1568" w:type="dxa"/>
            <w:tcBorders>
              <w:top w:val="single" w:sz="4" w:space="0" w:color="auto"/>
              <w:left w:val="single" w:sz="4" w:space="0" w:color="auto"/>
              <w:bottom w:val="single" w:sz="4" w:space="0" w:color="auto"/>
              <w:right w:val="single" w:sz="4" w:space="0" w:color="auto"/>
            </w:tcBorders>
            <w:vAlign w:val="bottom"/>
            <w:hideMark/>
          </w:tcPr>
          <w:p w14:paraId="131A68D2"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5,21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77340C3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85,2%</w:t>
            </w:r>
          </w:p>
        </w:tc>
      </w:tr>
      <w:tr w:rsidR="007C32A8" w14:paraId="1735C8BE"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697D7E1E"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текстильных изделий, одежды и изделий из кожи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E5C4089"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9,06</w:t>
            </w:r>
          </w:p>
        </w:tc>
        <w:tc>
          <w:tcPr>
            <w:tcW w:w="1568" w:type="dxa"/>
            <w:tcBorders>
              <w:top w:val="single" w:sz="4" w:space="0" w:color="auto"/>
              <w:left w:val="single" w:sz="4" w:space="0" w:color="auto"/>
              <w:bottom w:val="single" w:sz="4" w:space="0" w:color="auto"/>
              <w:right w:val="single" w:sz="4" w:space="0" w:color="auto"/>
            </w:tcBorders>
            <w:vAlign w:val="bottom"/>
            <w:hideMark/>
          </w:tcPr>
          <w:p w14:paraId="0424700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10,49</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4E9C4F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86,4%</w:t>
            </w:r>
          </w:p>
        </w:tc>
      </w:tr>
      <w:tr w:rsidR="007C32A8" w14:paraId="2E47681C"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0562DD6B"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древесины и изделий из дерева и пробки, кроме мебели; производство изделий из соломы и плетеных материалов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CD514C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7,09</w:t>
            </w:r>
          </w:p>
        </w:tc>
        <w:tc>
          <w:tcPr>
            <w:tcW w:w="1568" w:type="dxa"/>
            <w:tcBorders>
              <w:top w:val="single" w:sz="4" w:space="0" w:color="auto"/>
              <w:left w:val="single" w:sz="4" w:space="0" w:color="auto"/>
              <w:bottom w:val="single" w:sz="4" w:space="0" w:color="auto"/>
              <w:right w:val="single" w:sz="4" w:space="0" w:color="auto"/>
            </w:tcBorders>
            <w:vAlign w:val="bottom"/>
            <w:hideMark/>
          </w:tcPr>
          <w:p w14:paraId="558B1E5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8,21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5518AA3A"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86,4%</w:t>
            </w:r>
          </w:p>
        </w:tc>
      </w:tr>
      <w:tr w:rsidR="007C32A8" w14:paraId="2A3823E7"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0471C960"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бумаги и бумажных изделий</w:t>
            </w:r>
          </w:p>
        </w:tc>
        <w:tc>
          <w:tcPr>
            <w:tcW w:w="1488" w:type="dxa"/>
            <w:tcBorders>
              <w:top w:val="single" w:sz="4" w:space="0" w:color="auto"/>
              <w:left w:val="single" w:sz="4" w:space="0" w:color="auto"/>
              <w:bottom w:val="single" w:sz="4" w:space="0" w:color="auto"/>
              <w:right w:val="single" w:sz="4" w:space="0" w:color="auto"/>
            </w:tcBorders>
            <w:vAlign w:val="bottom"/>
            <w:hideMark/>
          </w:tcPr>
          <w:p w14:paraId="1C471B21"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4,98</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EE87DC1"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5,59</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82D3AD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89,0%</w:t>
            </w:r>
          </w:p>
        </w:tc>
      </w:tr>
      <w:tr w:rsidR="007C32A8" w14:paraId="65D6BC7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46C612CF"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кокса и нефтепродуктов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7CC6A6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2,59</w:t>
            </w:r>
          </w:p>
        </w:tc>
        <w:tc>
          <w:tcPr>
            <w:tcW w:w="1568" w:type="dxa"/>
            <w:tcBorders>
              <w:top w:val="single" w:sz="4" w:space="0" w:color="auto"/>
              <w:left w:val="single" w:sz="4" w:space="0" w:color="auto"/>
              <w:bottom w:val="single" w:sz="4" w:space="0" w:color="auto"/>
              <w:right w:val="single" w:sz="4" w:space="0" w:color="auto"/>
            </w:tcBorders>
            <w:vAlign w:val="bottom"/>
            <w:hideMark/>
          </w:tcPr>
          <w:p w14:paraId="381A33FA"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2,99</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048D9C1"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86,4%</w:t>
            </w:r>
          </w:p>
        </w:tc>
      </w:tr>
      <w:tr w:rsidR="007C32A8" w14:paraId="6F3B6C12"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A083A80"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химических веществ и химических продуктов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28B93F9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6,11</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5C8ED0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6,76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83909D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90,4%</w:t>
            </w:r>
          </w:p>
        </w:tc>
      </w:tr>
      <w:tr w:rsidR="007C32A8" w14:paraId="3646DEAA"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5ADEF1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резиновых и пластмассовых изделий</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CBB200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3,75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01C9578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4,70</w:t>
            </w:r>
          </w:p>
        </w:tc>
        <w:tc>
          <w:tcPr>
            <w:tcW w:w="1610" w:type="dxa"/>
            <w:tcBorders>
              <w:top w:val="single" w:sz="4" w:space="0" w:color="auto"/>
              <w:left w:val="single" w:sz="4" w:space="0" w:color="auto"/>
              <w:bottom w:val="single" w:sz="4" w:space="0" w:color="auto"/>
              <w:right w:val="single" w:sz="4" w:space="0" w:color="auto"/>
            </w:tcBorders>
            <w:vAlign w:val="bottom"/>
            <w:hideMark/>
          </w:tcPr>
          <w:p w14:paraId="242EE65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79,7%</w:t>
            </w:r>
          </w:p>
        </w:tc>
      </w:tr>
      <w:tr w:rsidR="007C32A8" w14:paraId="0EA3FC1C"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7D8E870"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прочих неметаллических минеральных продуктов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759F1DF"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3,23</w:t>
            </w:r>
          </w:p>
        </w:tc>
        <w:tc>
          <w:tcPr>
            <w:tcW w:w="1568" w:type="dxa"/>
            <w:tcBorders>
              <w:top w:val="single" w:sz="4" w:space="0" w:color="auto"/>
              <w:left w:val="single" w:sz="4" w:space="0" w:color="auto"/>
              <w:bottom w:val="single" w:sz="4" w:space="0" w:color="auto"/>
              <w:right w:val="single" w:sz="4" w:space="0" w:color="auto"/>
            </w:tcBorders>
            <w:vAlign w:val="bottom"/>
            <w:hideMark/>
          </w:tcPr>
          <w:p w14:paraId="10A0C20B"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5,40</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240E529"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59,8%</w:t>
            </w:r>
          </w:p>
        </w:tc>
      </w:tr>
      <w:tr w:rsidR="007C32A8" w14:paraId="457C51C3"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440B8A14"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основных металлов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9BCEBD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4,18</w:t>
            </w:r>
          </w:p>
        </w:tc>
        <w:tc>
          <w:tcPr>
            <w:tcW w:w="1568" w:type="dxa"/>
            <w:tcBorders>
              <w:top w:val="single" w:sz="4" w:space="0" w:color="auto"/>
              <w:left w:val="single" w:sz="4" w:space="0" w:color="auto"/>
              <w:bottom w:val="single" w:sz="4" w:space="0" w:color="auto"/>
              <w:right w:val="single" w:sz="4" w:space="0" w:color="auto"/>
            </w:tcBorders>
            <w:vAlign w:val="bottom"/>
            <w:hideMark/>
          </w:tcPr>
          <w:p w14:paraId="2FAFA6D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4,55</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0A14262"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91,7%</w:t>
            </w:r>
          </w:p>
        </w:tc>
      </w:tr>
      <w:tr w:rsidR="007C32A8" w14:paraId="21C1086A"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4D598D77"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машин и оборудования</w:t>
            </w:r>
          </w:p>
        </w:tc>
        <w:tc>
          <w:tcPr>
            <w:tcW w:w="1488" w:type="dxa"/>
            <w:tcBorders>
              <w:top w:val="single" w:sz="4" w:space="0" w:color="auto"/>
              <w:left w:val="single" w:sz="4" w:space="0" w:color="auto"/>
              <w:bottom w:val="single" w:sz="4" w:space="0" w:color="auto"/>
              <w:right w:val="single" w:sz="4" w:space="0" w:color="auto"/>
            </w:tcBorders>
            <w:vAlign w:val="bottom"/>
            <w:hideMark/>
          </w:tcPr>
          <w:p w14:paraId="7F94FB8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6,62</w:t>
            </w:r>
          </w:p>
        </w:tc>
        <w:tc>
          <w:tcPr>
            <w:tcW w:w="1568" w:type="dxa"/>
            <w:tcBorders>
              <w:top w:val="single" w:sz="4" w:space="0" w:color="auto"/>
              <w:left w:val="single" w:sz="4" w:space="0" w:color="auto"/>
              <w:bottom w:val="single" w:sz="4" w:space="0" w:color="auto"/>
              <w:right w:val="single" w:sz="4" w:space="0" w:color="auto"/>
            </w:tcBorders>
            <w:vAlign w:val="bottom"/>
            <w:hideMark/>
          </w:tcPr>
          <w:p w14:paraId="11832A9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8,30</w:t>
            </w:r>
          </w:p>
        </w:tc>
        <w:tc>
          <w:tcPr>
            <w:tcW w:w="1610" w:type="dxa"/>
            <w:tcBorders>
              <w:top w:val="single" w:sz="4" w:space="0" w:color="auto"/>
              <w:left w:val="single" w:sz="4" w:space="0" w:color="auto"/>
              <w:bottom w:val="single" w:sz="4" w:space="0" w:color="auto"/>
              <w:right w:val="single" w:sz="4" w:space="0" w:color="auto"/>
            </w:tcBorders>
            <w:vAlign w:val="bottom"/>
            <w:hideMark/>
          </w:tcPr>
          <w:p w14:paraId="700598BA"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79,7%</w:t>
            </w:r>
          </w:p>
        </w:tc>
      </w:tr>
      <w:tr w:rsidR="007C32A8" w14:paraId="6C867A39"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056C9344"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компьютерной, электронной и оптической продукции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15A597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7,55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7227FCA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9,16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3158B1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82,4%</w:t>
            </w:r>
          </w:p>
        </w:tc>
      </w:tr>
      <w:tr w:rsidR="007C32A8" w14:paraId="6FA73814"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E0BE0BB"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Производство автотранспортных средств, прицепов и полуприцепов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28B958C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4,37</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990757B"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5,06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5F7D4AF"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86,4%</w:t>
            </w:r>
          </w:p>
        </w:tc>
      </w:tr>
      <w:tr w:rsidR="007C32A8" w14:paraId="075377CC"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D1F56CA"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sz w:val="20"/>
                <w:szCs w:val="20"/>
              </w:rPr>
              <w:t>Прочие производства</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651899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2,10</w:t>
            </w:r>
          </w:p>
        </w:tc>
        <w:tc>
          <w:tcPr>
            <w:tcW w:w="1568" w:type="dxa"/>
            <w:tcBorders>
              <w:top w:val="single" w:sz="4" w:space="0" w:color="auto"/>
              <w:left w:val="single" w:sz="4" w:space="0" w:color="auto"/>
              <w:bottom w:val="single" w:sz="4" w:space="0" w:color="auto"/>
              <w:right w:val="single" w:sz="4" w:space="0" w:color="auto"/>
            </w:tcBorders>
            <w:vAlign w:val="bottom"/>
            <w:hideMark/>
          </w:tcPr>
          <w:p w14:paraId="7117D8E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3,95</w:t>
            </w:r>
          </w:p>
        </w:tc>
        <w:tc>
          <w:tcPr>
            <w:tcW w:w="1610" w:type="dxa"/>
            <w:tcBorders>
              <w:top w:val="single" w:sz="4" w:space="0" w:color="auto"/>
              <w:left w:val="single" w:sz="4" w:space="0" w:color="auto"/>
              <w:bottom w:val="single" w:sz="4" w:space="0" w:color="auto"/>
              <w:right w:val="single" w:sz="4" w:space="0" w:color="auto"/>
            </w:tcBorders>
            <w:vAlign w:val="bottom"/>
            <w:hideMark/>
          </w:tcPr>
          <w:p w14:paraId="3AE892C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53,2%</w:t>
            </w:r>
          </w:p>
        </w:tc>
      </w:tr>
      <w:tr w:rsidR="007C32A8" w14:paraId="405F1853"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282773A0"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Электричество, газ, пар и кондиционирование воздуха</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C8B828A"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3,89</w:t>
            </w:r>
          </w:p>
        </w:tc>
        <w:tc>
          <w:tcPr>
            <w:tcW w:w="1568" w:type="dxa"/>
            <w:tcBorders>
              <w:top w:val="single" w:sz="4" w:space="0" w:color="auto"/>
              <w:left w:val="single" w:sz="4" w:space="0" w:color="auto"/>
              <w:bottom w:val="single" w:sz="4" w:space="0" w:color="auto"/>
              <w:right w:val="single" w:sz="4" w:space="0" w:color="auto"/>
            </w:tcBorders>
            <w:vAlign w:val="bottom"/>
            <w:hideMark/>
          </w:tcPr>
          <w:p w14:paraId="5F1BB19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9,12</w:t>
            </w:r>
          </w:p>
        </w:tc>
        <w:tc>
          <w:tcPr>
            <w:tcW w:w="1610" w:type="dxa"/>
            <w:tcBorders>
              <w:top w:val="single" w:sz="4" w:space="0" w:color="auto"/>
              <w:left w:val="single" w:sz="4" w:space="0" w:color="auto"/>
              <w:bottom w:val="single" w:sz="4" w:space="0" w:color="auto"/>
              <w:right w:val="single" w:sz="4" w:space="0" w:color="auto"/>
            </w:tcBorders>
            <w:vAlign w:val="bottom"/>
            <w:hideMark/>
          </w:tcPr>
          <w:p w14:paraId="4477BB7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42,6%</w:t>
            </w:r>
          </w:p>
        </w:tc>
      </w:tr>
      <w:tr w:rsidR="007C32A8" w14:paraId="5F29FFD2"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1B34F10F"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Строительство</w:t>
            </w:r>
          </w:p>
        </w:tc>
        <w:tc>
          <w:tcPr>
            <w:tcW w:w="1488" w:type="dxa"/>
            <w:tcBorders>
              <w:top w:val="single" w:sz="4" w:space="0" w:color="auto"/>
              <w:left w:val="single" w:sz="4" w:space="0" w:color="auto"/>
              <w:bottom w:val="single" w:sz="4" w:space="0" w:color="auto"/>
              <w:right w:val="single" w:sz="4" w:space="0" w:color="auto"/>
            </w:tcBorders>
            <w:vAlign w:val="bottom"/>
            <w:hideMark/>
          </w:tcPr>
          <w:p w14:paraId="59109C2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2,90</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D44280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5,46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ABFE7B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53,1%</w:t>
            </w:r>
          </w:p>
        </w:tc>
      </w:tr>
      <w:tr w:rsidR="007C32A8" w14:paraId="7B5B201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69480409"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Оптовая и розничная торговля и ремонт автотранспортных средств и мотоциклов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ACFCAE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2,56</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0A8B10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2,88</w:t>
            </w:r>
          </w:p>
        </w:tc>
        <w:tc>
          <w:tcPr>
            <w:tcW w:w="1610" w:type="dxa"/>
            <w:tcBorders>
              <w:top w:val="single" w:sz="4" w:space="0" w:color="auto"/>
              <w:left w:val="single" w:sz="4" w:space="0" w:color="auto"/>
              <w:bottom w:val="single" w:sz="4" w:space="0" w:color="auto"/>
              <w:right w:val="single" w:sz="4" w:space="0" w:color="auto"/>
            </w:tcBorders>
            <w:vAlign w:val="bottom"/>
            <w:hideMark/>
          </w:tcPr>
          <w:p w14:paraId="429C259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89,0%</w:t>
            </w:r>
          </w:p>
        </w:tc>
      </w:tr>
      <w:tr w:rsidR="007C32A8" w14:paraId="5B664A7D"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1EA22EF"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Оптовая торговля, кроме автомобилей и мотоциклов</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E4B274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2,12</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42EC3C1"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2,46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7118B1B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86,4%</w:t>
            </w:r>
          </w:p>
        </w:tc>
      </w:tr>
      <w:tr w:rsidR="007C32A8" w14:paraId="42263229"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E44803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Розничная торговля, кроме торговли автотранспортными средствами и мотоциклами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24F8946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3,88</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F62112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5,84</w:t>
            </w:r>
          </w:p>
        </w:tc>
        <w:tc>
          <w:tcPr>
            <w:tcW w:w="1610" w:type="dxa"/>
            <w:tcBorders>
              <w:top w:val="single" w:sz="4" w:space="0" w:color="auto"/>
              <w:left w:val="single" w:sz="4" w:space="0" w:color="auto"/>
              <w:bottom w:val="single" w:sz="4" w:space="0" w:color="auto"/>
              <w:right w:val="single" w:sz="4" w:space="0" w:color="auto"/>
            </w:tcBorders>
            <w:vAlign w:val="bottom"/>
            <w:hideMark/>
          </w:tcPr>
          <w:p w14:paraId="2038E7E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66,5%</w:t>
            </w:r>
          </w:p>
        </w:tc>
      </w:tr>
      <w:tr w:rsidR="007C32A8" w14:paraId="420E47B6"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4E5F182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Услуги по размещению и питанию</w:t>
            </w:r>
          </w:p>
        </w:tc>
        <w:tc>
          <w:tcPr>
            <w:tcW w:w="1488" w:type="dxa"/>
            <w:tcBorders>
              <w:top w:val="single" w:sz="4" w:space="0" w:color="auto"/>
              <w:left w:val="single" w:sz="4" w:space="0" w:color="auto"/>
              <w:bottom w:val="single" w:sz="4" w:space="0" w:color="auto"/>
              <w:right w:val="single" w:sz="4" w:space="0" w:color="auto"/>
            </w:tcBorders>
            <w:vAlign w:val="bottom"/>
            <w:hideMark/>
          </w:tcPr>
          <w:p w14:paraId="312F428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2,51</w:t>
            </w:r>
          </w:p>
        </w:tc>
        <w:tc>
          <w:tcPr>
            <w:tcW w:w="1568" w:type="dxa"/>
            <w:tcBorders>
              <w:top w:val="single" w:sz="4" w:space="0" w:color="auto"/>
              <w:left w:val="single" w:sz="4" w:space="0" w:color="auto"/>
              <w:bottom w:val="single" w:sz="4" w:space="0" w:color="auto"/>
              <w:right w:val="single" w:sz="4" w:space="0" w:color="auto"/>
            </w:tcBorders>
            <w:vAlign w:val="bottom"/>
            <w:hideMark/>
          </w:tcPr>
          <w:p w14:paraId="7D18EAA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3,01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3FEEAA7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83,4%</w:t>
            </w:r>
          </w:p>
        </w:tc>
      </w:tr>
      <w:tr w:rsidR="007C32A8" w14:paraId="6F7F9650"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38E1D899"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Наземный транспорт и транспортировка по трубопроводам</w:t>
            </w:r>
          </w:p>
        </w:tc>
        <w:tc>
          <w:tcPr>
            <w:tcW w:w="1488" w:type="dxa"/>
            <w:tcBorders>
              <w:top w:val="single" w:sz="4" w:space="0" w:color="auto"/>
              <w:left w:val="single" w:sz="4" w:space="0" w:color="auto"/>
              <w:bottom w:val="single" w:sz="4" w:space="0" w:color="auto"/>
              <w:right w:val="single" w:sz="4" w:space="0" w:color="auto"/>
            </w:tcBorders>
            <w:vAlign w:val="bottom"/>
            <w:hideMark/>
          </w:tcPr>
          <w:p w14:paraId="4B3F4A5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4,31</w:t>
            </w:r>
          </w:p>
        </w:tc>
        <w:tc>
          <w:tcPr>
            <w:tcW w:w="1568" w:type="dxa"/>
            <w:tcBorders>
              <w:top w:val="single" w:sz="4" w:space="0" w:color="auto"/>
              <w:left w:val="single" w:sz="4" w:space="0" w:color="auto"/>
              <w:bottom w:val="single" w:sz="4" w:space="0" w:color="auto"/>
              <w:right w:val="single" w:sz="4" w:space="0" w:color="auto"/>
            </w:tcBorders>
            <w:vAlign w:val="bottom"/>
            <w:hideMark/>
          </w:tcPr>
          <w:p w14:paraId="5614910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5,41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E0C78B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79,7%</w:t>
            </w:r>
          </w:p>
        </w:tc>
      </w:tr>
      <w:tr w:rsidR="007C32A8" w14:paraId="3469D4D9"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0CB65DE5"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Водный транспорт</w:t>
            </w:r>
          </w:p>
        </w:tc>
        <w:tc>
          <w:tcPr>
            <w:tcW w:w="1488" w:type="dxa"/>
            <w:tcBorders>
              <w:top w:val="single" w:sz="4" w:space="0" w:color="auto"/>
              <w:left w:val="single" w:sz="4" w:space="0" w:color="auto"/>
              <w:bottom w:val="single" w:sz="4" w:space="0" w:color="auto"/>
              <w:right w:val="single" w:sz="4" w:space="0" w:color="auto"/>
            </w:tcBorders>
            <w:vAlign w:val="bottom"/>
            <w:hideMark/>
          </w:tcPr>
          <w:p w14:paraId="4B3CE42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3,89</w:t>
            </w:r>
          </w:p>
        </w:tc>
        <w:tc>
          <w:tcPr>
            <w:tcW w:w="1568" w:type="dxa"/>
            <w:tcBorders>
              <w:top w:val="single" w:sz="4" w:space="0" w:color="auto"/>
              <w:left w:val="single" w:sz="4" w:space="0" w:color="auto"/>
              <w:bottom w:val="single" w:sz="4" w:space="0" w:color="auto"/>
              <w:right w:val="single" w:sz="4" w:space="0" w:color="auto"/>
            </w:tcBorders>
            <w:vAlign w:val="bottom"/>
            <w:hideMark/>
          </w:tcPr>
          <w:p w14:paraId="7A0943F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7,33</w:t>
            </w:r>
          </w:p>
        </w:tc>
        <w:tc>
          <w:tcPr>
            <w:tcW w:w="1610" w:type="dxa"/>
            <w:tcBorders>
              <w:top w:val="single" w:sz="4" w:space="0" w:color="auto"/>
              <w:left w:val="single" w:sz="4" w:space="0" w:color="auto"/>
              <w:bottom w:val="single" w:sz="4" w:space="0" w:color="auto"/>
              <w:right w:val="single" w:sz="4" w:space="0" w:color="auto"/>
            </w:tcBorders>
            <w:vAlign w:val="bottom"/>
            <w:hideMark/>
          </w:tcPr>
          <w:p w14:paraId="50825E55"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53,2%</w:t>
            </w:r>
          </w:p>
        </w:tc>
      </w:tr>
      <w:tr w:rsidR="007C32A8" w14:paraId="1786F33A"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B1746DF"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Воздушный транспорт</w:t>
            </w:r>
          </w:p>
        </w:tc>
        <w:tc>
          <w:tcPr>
            <w:tcW w:w="1488" w:type="dxa"/>
            <w:tcBorders>
              <w:top w:val="single" w:sz="4" w:space="0" w:color="auto"/>
              <w:left w:val="single" w:sz="4" w:space="0" w:color="auto"/>
              <w:bottom w:val="single" w:sz="4" w:space="0" w:color="auto"/>
              <w:right w:val="single" w:sz="4" w:space="0" w:color="auto"/>
            </w:tcBorders>
            <w:vAlign w:val="bottom"/>
            <w:hideMark/>
          </w:tcPr>
          <w:p w14:paraId="2706C22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1,78</w:t>
            </w:r>
          </w:p>
        </w:tc>
        <w:tc>
          <w:tcPr>
            <w:tcW w:w="1568" w:type="dxa"/>
            <w:tcBorders>
              <w:top w:val="single" w:sz="4" w:space="0" w:color="auto"/>
              <w:left w:val="single" w:sz="4" w:space="0" w:color="auto"/>
              <w:bottom w:val="single" w:sz="4" w:space="0" w:color="auto"/>
              <w:right w:val="single" w:sz="4" w:space="0" w:color="auto"/>
            </w:tcBorders>
            <w:vAlign w:val="bottom"/>
            <w:hideMark/>
          </w:tcPr>
          <w:p w14:paraId="49528C7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1,93</w:t>
            </w:r>
          </w:p>
        </w:tc>
        <w:tc>
          <w:tcPr>
            <w:tcW w:w="1610" w:type="dxa"/>
            <w:tcBorders>
              <w:top w:val="single" w:sz="4" w:space="0" w:color="auto"/>
              <w:left w:val="single" w:sz="4" w:space="0" w:color="auto"/>
              <w:bottom w:val="single" w:sz="4" w:space="0" w:color="auto"/>
              <w:right w:val="single" w:sz="4" w:space="0" w:color="auto"/>
            </w:tcBorders>
            <w:vAlign w:val="bottom"/>
            <w:hideMark/>
          </w:tcPr>
          <w:p w14:paraId="7EE44DBB"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92,4%</w:t>
            </w:r>
          </w:p>
        </w:tc>
      </w:tr>
      <w:tr w:rsidR="007C32A8" w14:paraId="1DFA4E49"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2F2DA7F3"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Складская и вспомогательная деятельность по транспортировке</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590F1B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1,41</w:t>
            </w:r>
          </w:p>
        </w:tc>
        <w:tc>
          <w:tcPr>
            <w:tcW w:w="1568" w:type="dxa"/>
            <w:tcBorders>
              <w:top w:val="single" w:sz="4" w:space="0" w:color="auto"/>
              <w:left w:val="single" w:sz="4" w:space="0" w:color="auto"/>
              <w:bottom w:val="single" w:sz="4" w:space="0" w:color="auto"/>
              <w:right w:val="single" w:sz="4" w:space="0" w:color="auto"/>
            </w:tcBorders>
            <w:vAlign w:val="bottom"/>
            <w:hideMark/>
          </w:tcPr>
          <w:p w14:paraId="2496BF0C"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1,84</w:t>
            </w:r>
          </w:p>
        </w:tc>
        <w:tc>
          <w:tcPr>
            <w:tcW w:w="1610" w:type="dxa"/>
            <w:tcBorders>
              <w:top w:val="single" w:sz="4" w:space="0" w:color="auto"/>
              <w:left w:val="single" w:sz="4" w:space="0" w:color="auto"/>
              <w:bottom w:val="single" w:sz="4" w:space="0" w:color="auto"/>
              <w:right w:val="single" w:sz="4" w:space="0" w:color="auto"/>
            </w:tcBorders>
            <w:vAlign w:val="bottom"/>
            <w:hideMark/>
          </w:tcPr>
          <w:p w14:paraId="462BEB9A"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76,5%</w:t>
            </w:r>
          </w:p>
        </w:tc>
      </w:tr>
      <w:tr w:rsidR="007C32A8" w14:paraId="5013E14A"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269A0A1B"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sz w:val="20"/>
                <w:szCs w:val="20"/>
              </w:rPr>
              <w:t>Почта и телекоммуникации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7E82818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1,15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FAF0794"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5,01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28C2B12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23,0%</w:t>
            </w:r>
          </w:p>
        </w:tc>
      </w:tr>
      <w:tr w:rsidR="007C32A8" w14:paraId="5DF0CB6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25B6BAD6"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Деятельность по предоставлению финансовых услуг, за исключением страхования и пенсионного обеспечения</w:t>
            </w:r>
          </w:p>
        </w:tc>
        <w:tc>
          <w:tcPr>
            <w:tcW w:w="1488" w:type="dxa"/>
            <w:tcBorders>
              <w:top w:val="single" w:sz="4" w:space="0" w:color="auto"/>
              <w:left w:val="single" w:sz="4" w:space="0" w:color="auto"/>
              <w:bottom w:val="single" w:sz="4" w:space="0" w:color="auto"/>
              <w:right w:val="single" w:sz="4" w:space="0" w:color="auto"/>
            </w:tcBorders>
            <w:vAlign w:val="bottom"/>
            <w:hideMark/>
          </w:tcPr>
          <w:p w14:paraId="6E2A6D3F"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2,55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CADEAF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2,70</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71CFBB2"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94,4%</w:t>
            </w:r>
          </w:p>
        </w:tc>
      </w:tr>
      <w:tr w:rsidR="007C32A8" w14:paraId="3C17740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79B741C5"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Деятельность в сфере недвижимости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663143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1,15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220C0A68"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1,27</w:t>
            </w:r>
          </w:p>
        </w:tc>
        <w:tc>
          <w:tcPr>
            <w:tcW w:w="1610" w:type="dxa"/>
            <w:tcBorders>
              <w:top w:val="single" w:sz="4" w:space="0" w:color="auto"/>
              <w:left w:val="single" w:sz="4" w:space="0" w:color="auto"/>
              <w:bottom w:val="single" w:sz="4" w:space="0" w:color="auto"/>
              <w:right w:val="single" w:sz="4" w:space="0" w:color="auto"/>
            </w:tcBorders>
            <w:vAlign w:val="bottom"/>
            <w:hideMark/>
          </w:tcPr>
          <w:p w14:paraId="42F7EBA2"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90,4%</w:t>
            </w:r>
          </w:p>
        </w:tc>
      </w:tr>
      <w:tr w:rsidR="007C32A8" w14:paraId="4C26CC5A"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6ACA0F25" w14:textId="77777777" w:rsidR="007C32A8" w:rsidRPr="007C32A8" w:rsidRDefault="007C32A8" w:rsidP="007C32A8">
            <w:pPr>
              <w:spacing w:line="276" w:lineRule="auto"/>
              <w:rPr>
                <w:rFonts w:ascii="Times New Roman" w:hAnsi="Times New Roman" w:cs="Times New Roman"/>
                <w:sz w:val="20"/>
                <w:szCs w:val="20"/>
              </w:rPr>
            </w:pPr>
            <w:proofErr w:type="gramStart"/>
            <w:r w:rsidRPr="007C32A8">
              <w:rPr>
                <w:rFonts w:ascii="Times New Roman" w:hAnsi="Times New Roman" w:cs="Times New Roman"/>
                <w:sz w:val="20"/>
                <w:szCs w:val="20"/>
              </w:rPr>
              <w:t>Аренда  и</w:t>
            </w:r>
            <w:proofErr w:type="gramEnd"/>
            <w:r w:rsidRPr="007C32A8">
              <w:rPr>
                <w:rFonts w:ascii="Times New Roman" w:hAnsi="Times New Roman" w:cs="Times New Roman"/>
                <w:sz w:val="20"/>
                <w:szCs w:val="20"/>
              </w:rPr>
              <w:t xml:space="preserve"> другие виды коммерческой деятельности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64B3F4E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0,94</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6C7228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1,07</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0836783"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87,7%</w:t>
            </w:r>
          </w:p>
        </w:tc>
      </w:tr>
      <w:tr w:rsidR="007C32A8" w14:paraId="08F5236E"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077A88A5"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Государственное управление и оборона; обязательное социальное обеспечение</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2D8C8C2"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1,32</w:t>
            </w:r>
          </w:p>
        </w:tc>
        <w:tc>
          <w:tcPr>
            <w:tcW w:w="1568" w:type="dxa"/>
            <w:tcBorders>
              <w:top w:val="single" w:sz="4" w:space="0" w:color="auto"/>
              <w:left w:val="single" w:sz="4" w:space="0" w:color="auto"/>
              <w:bottom w:val="single" w:sz="4" w:space="0" w:color="auto"/>
              <w:right w:val="single" w:sz="4" w:space="0" w:color="auto"/>
            </w:tcBorders>
            <w:vAlign w:val="bottom"/>
            <w:hideMark/>
          </w:tcPr>
          <w:p w14:paraId="519A716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2,89</w:t>
            </w:r>
          </w:p>
        </w:tc>
        <w:tc>
          <w:tcPr>
            <w:tcW w:w="1610" w:type="dxa"/>
            <w:tcBorders>
              <w:top w:val="single" w:sz="4" w:space="0" w:color="auto"/>
              <w:left w:val="single" w:sz="4" w:space="0" w:color="auto"/>
              <w:bottom w:val="single" w:sz="4" w:space="0" w:color="auto"/>
              <w:right w:val="single" w:sz="4" w:space="0" w:color="auto"/>
            </w:tcBorders>
            <w:vAlign w:val="bottom"/>
            <w:hideMark/>
          </w:tcPr>
          <w:p w14:paraId="2CFD355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45,6%</w:t>
            </w:r>
          </w:p>
        </w:tc>
      </w:tr>
      <w:tr w:rsidR="007C32A8" w14:paraId="10FCCD5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3F5CE2FE"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Образование</w:t>
            </w:r>
          </w:p>
        </w:tc>
        <w:tc>
          <w:tcPr>
            <w:tcW w:w="1488" w:type="dxa"/>
            <w:tcBorders>
              <w:top w:val="single" w:sz="4" w:space="0" w:color="auto"/>
              <w:left w:val="single" w:sz="4" w:space="0" w:color="auto"/>
              <w:bottom w:val="single" w:sz="4" w:space="0" w:color="auto"/>
              <w:right w:val="single" w:sz="4" w:space="0" w:color="auto"/>
            </w:tcBorders>
            <w:vAlign w:val="bottom"/>
            <w:hideMark/>
          </w:tcPr>
          <w:p w14:paraId="697CEE4E"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1,42</w:t>
            </w:r>
          </w:p>
        </w:tc>
        <w:tc>
          <w:tcPr>
            <w:tcW w:w="1568" w:type="dxa"/>
            <w:tcBorders>
              <w:top w:val="single" w:sz="4" w:space="0" w:color="auto"/>
              <w:left w:val="single" w:sz="4" w:space="0" w:color="auto"/>
              <w:bottom w:val="single" w:sz="4" w:space="0" w:color="auto"/>
              <w:right w:val="single" w:sz="4" w:space="0" w:color="auto"/>
            </w:tcBorders>
            <w:vAlign w:val="bottom"/>
            <w:hideMark/>
          </w:tcPr>
          <w:p w14:paraId="78CF23D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6,21</w:t>
            </w:r>
          </w:p>
        </w:tc>
        <w:tc>
          <w:tcPr>
            <w:tcW w:w="1610" w:type="dxa"/>
            <w:tcBorders>
              <w:top w:val="single" w:sz="4" w:space="0" w:color="auto"/>
              <w:left w:val="single" w:sz="4" w:space="0" w:color="auto"/>
              <w:bottom w:val="single" w:sz="4" w:space="0" w:color="auto"/>
              <w:right w:val="single" w:sz="4" w:space="0" w:color="auto"/>
            </w:tcBorders>
            <w:vAlign w:val="bottom"/>
            <w:hideMark/>
          </w:tcPr>
          <w:p w14:paraId="3D9ED27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22,8%</w:t>
            </w:r>
          </w:p>
        </w:tc>
      </w:tr>
      <w:tr w:rsidR="007C32A8" w14:paraId="116B214F"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4D5D44B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color w:val="000000"/>
                <w:sz w:val="20"/>
                <w:szCs w:val="20"/>
              </w:rPr>
              <w:t>Деятельность в области здравоохранения и социальной работы</w:t>
            </w:r>
          </w:p>
        </w:tc>
        <w:tc>
          <w:tcPr>
            <w:tcW w:w="1488" w:type="dxa"/>
            <w:tcBorders>
              <w:top w:val="single" w:sz="4" w:space="0" w:color="auto"/>
              <w:left w:val="single" w:sz="4" w:space="0" w:color="auto"/>
              <w:bottom w:val="single" w:sz="4" w:space="0" w:color="auto"/>
              <w:right w:val="single" w:sz="4" w:space="0" w:color="auto"/>
            </w:tcBorders>
            <w:vAlign w:val="bottom"/>
            <w:hideMark/>
          </w:tcPr>
          <w:p w14:paraId="0E22D5DD"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1,35</w:t>
            </w:r>
          </w:p>
        </w:tc>
        <w:tc>
          <w:tcPr>
            <w:tcW w:w="1568" w:type="dxa"/>
            <w:tcBorders>
              <w:top w:val="single" w:sz="4" w:space="0" w:color="auto"/>
              <w:left w:val="single" w:sz="4" w:space="0" w:color="auto"/>
              <w:bottom w:val="single" w:sz="4" w:space="0" w:color="auto"/>
              <w:right w:val="single" w:sz="4" w:space="0" w:color="auto"/>
            </w:tcBorders>
            <w:vAlign w:val="bottom"/>
            <w:hideMark/>
          </w:tcPr>
          <w:p w14:paraId="69733289"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4,22</w:t>
            </w:r>
          </w:p>
        </w:tc>
        <w:tc>
          <w:tcPr>
            <w:tcW w:w="1610" w:type="dxa"/>
            <w:tcBorders>
              <w:top w:val="single" w:sz="4" w:space="0" w:color="auto"/>
              <w:left w:val="single" w:sz="4" w:space="0" w:color="auto"/>
              <w:bottom w:val="single" w:sz="4" w:space="0" w:color="auto"/>
              <w:right w:val="single" w:sz="4" w:space="0" w:color="auto"/>
            </w:tcBorders>
            <w:vAlign w:val="bottom"/>
            <w:hideMark/>
          </w:tcPr>
          <w:p w14:paraId="036694E7"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31,9%</w:t>
            </w:r>
          </w:p>
        </w:tc>
      </w:tr>
      <w:tr w:rsidR="007C32A8" w14:paraId="48615D81"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5E9A0CD" w14:textId="77777777" w:rsidR="007C32A8" w:rsidRPr="007C32A8" w:rsidRDefault="007C32A8" w:rsidP="007C32A8">
            <w:pPr>
              <w:spacing w:line="276" w:lineRule="auto"/>
              <w:rPr>
                <w:rFonts w:ascii="Times New Roman" w:hAnsi="Times New Roman" w:cs="Times New Roman"/>
                <w:sz w:val="20"/>
                <w:szCs w:val="20"/>
              </w:rPr>
            </w:pPr>
            <w:r w:rsidRPr="007C32A8">
              <w:rPr>
                <w:rFonts w:ascii="Times New Roman" w:hAnsi="Times New Roman" w:cs="Times New Roman"/>
                <w:sz w:val="20"/>
                <w:szCs w:val="20"/>
              </w:rPr>
              <w:t>Другие общественные, социальные и личные услуги</w:t>
            </w:r>
          </w:p>
        </w:tc>
        <w:tc>
          <w:tcPr>
            <w:tcW w:w="1488" w:type="dxa"/>
            <w:tcBorders>
              <w:top w:val="single" w:sz="4" w:space="0" w:color="auto"/>
              <w:left w:val="single" w:sz="4" w:space="0" w:color="auto"/>
              <w:bottom w:val="single" w:sz="4" w:space="0" w:color="auto"/>
              <w:right w:val="single" w:sz="4" w:space="0" w:color="auto"/>
            </w:tcBorders>
            <w:vAlign w:val="bottom"/>
            <w:hideMark/>
          </w:tcPr>
          <w:p w14:paraId="7ECAAEC9"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2,72</w:t>
            </w:r>
          </w:p>
        </w:tc>
        <w:tc>
          <w:tcPr>
            <w:tcW w:w="1568" w:type="dxa"/>
            <w:tcBorders>
              <w:top w:val="single" w:sz="4" w:space="0" w:color="auto"/>
              <w:left w:val="single" w:sz="4" w:space="0" w:color="auto"/>
              <w:bottom w:val="single" w:sz="4" w:space="0" w:color="auto"/>
              <w:right w:val="single" w:sz="4" w:space="0" w:color="auto"/>
            </w:tcBorders>
            <w:vAlign w:val="bottom"/>
            <w:hideMark/>
          </w:tcPr>
          <w:p w14:paraId="40A05ED0"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5,26</w:t>
            </w:r>
          </w:p>
        </w:tc>
        <w:tc>
          <w:tcPr>
            <w:tcW w:w="1610" w:type="dxa"/>
            <w:tcBorders>
              <w:top w:val="single" w:sz="4" w:space="0" w:color="auto"/>
              <w:left w:val="single" w:sz="4" w:space="0" w:color="auto"/>
              <w:bottom w:val="single" w:sz="4" w:space="0" w:color="auto"/>
              <w:right w:val="single" w:sz="4" w:space="0" w:color="auto"/>
            </w:tcBorders>
            <w:vAlign w:val="bottom"/>
            <w:hideMark/>
          </w:tcPr>
          <w:p w14:paraId="63622CE6" w14:textId="77777777" w:rsidR="007C32A8" w:rsidRPr="007C32A8" w:rsidRDefault="007C32A8" w:rsidP="007C32A8">
            <w:pPr>
              <w:spacing w:line="276" w:lineRule="auto"/>
              <w:jc w:val="center"/>
              <w:rPr>
                <w:rFonts w:ascii="Times New Roman" w:hAnsi="Times New Roman" w:cs="Times New Roman"/>
                <w:sz w:val="20"/>
                <w:szCs w:val="20"/>
              </w:rPr>
            </w:pPr>
            <w:r w:rsidRPr="007C32A8">
              <w:rPr>
                <w:rFonts w:ascii="Times New Roman" w:hAnsi="Times New Roman" w:cs="Times New Roman"/>
                <w:color w:val="000000"/>
                <w:sz w:val="20"/>
                <w:szCs w:val="20"/>
              </w:rPr>
              <w:t>51,7%</w:t>
            </w:r>
          </w:p>
        </w:tc>
      </w:tr>
      <w:tr w:rsidR="007C32A8" w14:paraId="61CEF864" w14:textId="77777777" w:rsidTr="007C32A8">
        <w:tc>
          <w:tcPr>
            <w:tcW w:w="4673" w:type="dxa"/>
            <w:tcBorders>
              <w:top w:val="single" w:sz="4" w:space="0" w:color="auto"/>
              <w:left w:val="single" w:sz="4" w:space="0" w:color="auto"/>
              <w:bottom w:val="single" w:sz="4" w:space="0" w:color="auto"/>
              <w:right w:val="single" w:sz="4" w:space="0" w:color="auto"/>
            </w:tcBorders>
            <w:vAlign w:val="bottom"/>
            <w:hideMark/>
          </w:tcPr>
          <w:p w14:paraId="5A4CF18F" w14:textId="77777777" w:rsidR="007C32A8" w:rsidRPr="007C32A8" w:rsidRDefault="007C32A8" w:rsidP="007C32A8">
            <w:pPr>
              <w:spacing w:line="276" w:lineRule="auto"/>
              <w:rPr>
                <w:rFonts w:ascii="Times New Roman" w:hAnsi="Times New Roman" w:cs="Times New Roman"/>
                <w:b/>
                <w:bCs/>
                <w:sz w:val="20"/>
                <w:szCs w:val="20"/>
              </w:rPr>
            </w:pPr>
            <w:r w:rsidRPr="007C32A8">
              <w:rPr>
                <w:rFonts w:ascii="Times New Roman" w:hAnsi="Times New Roman" w:cs="Times New Roman"/>
                <w:b/>
                <w:bCs/>
                <w:sz w:val="20"/>
                <w:szCs w:val="20"/>
              </w:rPr>
              <w:t>ЭКОНОМИКА в целом</w:t>
            </w:r>
          </w:p>
        </w:tc>
        <w:tc>
          <w:tcPr>
            <w:tcW w:w="1488" w:type="dxa"/>
            <w:tcBorders>
              <w:top w:val="single" w:sz="4" w:space="0" w:color="auto"/>
              <w:left w:val="single" w:sz="4" w:space="0" w:color="auto"/>
              <w:bottom w:val="single" w:sz="4" w:space="0" w:color="auto"/>
              <w:right w:val="single" w:sz="4" w:space="0" w:color="auto"/>
            </w:tcBorders>
            <w:vAlign w:val="bottom"/>
            <w:hideMark/>
          </w:tcPr>
          <w:p w14:paraId="54DBD0AB" w14:textId="77777777" w:rsidR="007C32A8" w:rsidRPr="007C32A8" w:rsidRDefault="007C32A8" w:rsidP="007C32A8">
            <w:pPr>
              <w:spacing w:line="276" w:lineRule="auto"/>
              <w:jc w:val="center"/>
              <w:rPr>
                <w:rFonts w:ascii="Times New Roman" w:hAnsi="Times New Roman" w:cs="Times New Roman"/>
                <w:b/>
                <w:bCs/>
                <w:sz w:val="20"/>
                <w:szCs w:val="20"/>
              </w:rPr>
            </w:pPr>
            <w:r w:rsidRPr="007C32A8">
              <w:rPr>
                <w:rFonts w:ascii="Times New Roman" w:hAnsi="Times New Roman" w:cs="Times New Roman"/>
                <w:b/>
                <w:bCs/>
                <w:color w:val="000000"/>
                <w:sz w:val="20"/>
                <w:szCs w:val="20"/>
              </w:rPr>
              <w:t>2,67</w:t>
            </w:r>
          </w:p>
        </w:tc>
        <w:tc>
          <w:tcPr>
            <w:tcW w:w="1568" w:type="dxa"/>
            <w:tcBorders>
              <w:top w:val="single" w:sz="4" w:space="0" w:color="auto"/>
              <w:left w:val="single" w:sz="4" w:space="0" w:color="auto"/>
              <w:bottom w:val="single" w:sz="4" w:space="0" w:color="auto"/>
              <w:right w:val="single" w:sz="4" w:space="0" w:color="auto"/>
            </w:tcBorders>
            <w:vAlign w:val="bottom"/>
            <w:hideMark/>
          </w:tcPr>
          <w:p w14:paraId="0FE1022C" w14:textId="77777777" w:rsidR="007C32A8" w:rsidRPr="007C32A8" w:rsidRDefault="007C32A8" w:rsidP="007C32A8">
            <w:pPr>
              <w:spacing w:line="276" w:lineRule="auto"/>
              <w:jc w:val="center"/>
              <w:rPr>
                <w:rFonts w:ascii="Times New Roman" w:hAnsi="Times New Roman" w:cs="Times New Roman"/>
                <w:b/>
                <w:bCs/>
                <w:sz w:val="20"/>
                <w:szCs w:val="20"/>
              </w:rPr>
            </w:pPr>
            <w:r w:rsidRPr="007C32A8">
              <w:rPr>
                <w:rFonts w:ascii="Times New Roman" w:hAnsi="Times New Roman" w:cs="Times New Roman"/>
                <w:b/>
                <w:bCs/>
                <w:color w:val="000000"/>
                <w:sz w:val="20"/>
                <w:szCs w:val="20"/>
              </w:rPr>
              <w:t>4,62</w:t>
            </w:r>
          </w:p>
        </w:tc>
        <w:tc>
          <w:tcPr>
            <w:tcW w:w="1610" w:type="dxa"/>
            <w:tcBorders>
              <w:top w:val="single" w:sz="4" w:space="0" w:color="auto"/>
              <w:left w:val="single" w:sz="4" w:space="0" w:color="auto"/>
              <w:bottom w:val="single" w:sz="4" w:space="0" w:color="auto"/>
              <w:right w:val="single" w:sz="4" w:space="0" w:color="auto"/>
            </w:tcBorders>
            <w:vAlign w:val="bottom"/>
            <w:hideMark/>
          </w:tcPr>
          <w:p w14:paraId="461D017D" w14:textId="77777777" w:rsidR="007C32A8" w:rsidRPr="007C32A8" w:rsidRDefault="007C32A8" w:rsidP="007C32A8">
            <w:pPr>
              <w:spacing w:line="276" w:lineRule="auto"/>
              <w:jc w:val="center"/>
              <w:rPr>
                <w:rFonts w:ascii="Times New Roman" w:hAnsi="Times New Roman" w:cs="Times New Roman"/>
                <w:b/>
                <w:bCs/>
                <w:sz w:val="20"/>
                <w:szCs w:val="20"/>
              </w:rPr>
            </w:pPr>
            <w:r w:rsidRPr="007C32A8">
              <w:rPr>
                <w:rFonts w:ascii="Times New Roman" w:hAnsi="Times New Roman" w:cs="Times New Roman"/>
                <w:b/>
                <w:bCs/>
                <w:color w:val="000000"/>
                <w:sz w:val="20"/>
                <w:szCs w:val="20"/>
              </w:rPr>
              <w:t>57,7%</w:t>
            </w:r>
          </w:p>
        </w:tc>
      </w:tr>
    </w:tbl>
    <w:p w14:paraId="5C1C0851" w14:textId="77777777" w:rsidR="007C32A8" w:rsidRPr="007C32A8" w:rsidRDefault="007C32A8" w:rsidP="007C32A8">
      <w:pPr>
        <w:spacing w:line="276" w:lineRule="auto"/>
        <w:ind w:firstLine="567"/>
        <w:jc w:val="both"/>
        <w:rPr>
          <w:rFonts w:ascii="Times New Roman" w:hAnsi="Times New Roman" w:cs="Times New Roman"/>
          <w:i/>
          <w:iCs/>
        </w:rPr>
      </w:pPr>
      <w:r w:rsidRPr="007C32A8">
        <w:rPr>
          <w:rFonts w:ascii="Times New Roman" w:hAnsi="Times New Roman" w:cs="Times New Roman"/>
          <w:i/>
        </w:rPr>
        <w:t xml:space="preserve">Источник: статистика ОЭСР (www.oecd.org), база данных WIOD (www.wiod.org), Росстат – Результаты международных сопоставлений ОЭСР-Евростата за 2017 г. Сопоставимый уровень цен (США =100), в %, расчеты </w:t>
      </w:r>
      <w:r w:rsidRPr="007C32A8">
        <w:rPr>
          <w:rFonts w:ascii="Times New Roman" w:hAnsi="Times New Roman" w:cs="Times New Roman"/>
          <w:i/>
          <w:iCs/>
        </w:rPr>
        <w:t xml:space="preserve">ИНП РАН </w:t>
      </w:r>
    </w:p>
    <w:p w14:paraId="3A77EC29"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Применительно к структуре нашей экономики вполне ожидаемо, что более высокий уровень заработной платы наблюдается в экспортно-ориентированных отраслях: в добыче полезных ископаемых уровень заработной платы (измеренный через ППС) в 4,6 раз ниже, чем в США (уровень относительных цен – 93%), в производстве кокса и нефтепродуктов – в 2,6 раз ниже (уровень относительных цен – 86,4%)); менее высокий уровень - в отраслях, ориентированных на внутренний спрос, сфере услуг. Почти сопоставимы заработные платы в России (измеренные по ППС) и в США в деятельности в сфере недвижимости (1,2) и в государственном управлении (1,3), а в других видах деятельности заработная плата в нашей стране опережает американскую – на 6%. Наименьший относительный уровень цен наблюдается в образовании – 22,8% и в почте и телекоммуникациях – 23%.</w:t>
      </w:r>
    </w:p>
    <w:p w14:paraId="25ABA77B" w14:textId="77777777" w:rsid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Оплата труда выступает как стимул и одновременно как показатель эффективности работы. С ростом уровня заработной платы, как правило, возрастает эффективность экономики и производительность труда. Наши расчеты показывают, что при прочих равных условиях увеличение заработной платы в среднем по экономике на 1% приводит к увеличению производительности труда как минимум на 0,1%. </w:t>
      </w:r>
    </w:p>
    <w:p w14:paraId="1F6CD3D2" w14:textId="77777777" w:rsidR="00351D97" w:rsidRDefault="00B46E37" w:rsidP="00B46E37">
      <w:pPr>
        <w:spacing w:after="0" w:line="360" w:lineRule="auto"/>
        <w:ind w:firstLine="567"/>
        <w:jc w:val="both"/>
        <w:rPr>
          <w:rFonts w:ascii="Times New Roman" w:hAnsi="Times New Roman"/>
          <w:sz w:val="28"/>
          <w:szCs w:val="28"/>
        </w:rPr>
      </w:pPr>
      <w:r>
        <w:rPr>
          <w:rFonts w:ascii="Times New Roman" w:hAnsi="Times New Roman"/>
          <w:sz w:val="28"/>
          <w:szCs w:val="28"/>
        </w:rPr>
        <w:t xml:space="preserve">Эта оценка может быть существенно повышена при разделении вклада </w:t>
      </w:r>
      <w:r w:rsidR="00351D97">
        <w:rPr>
          <w:rFonts w:ascii="Times New Roman" w:hAnsi="Times New Roman"/>
          <w:sz w:val="28"/>
          <w:szCs w:val="28"/>
        </w:rPr>
        <w:t xml:space="preserve">основного и человеческого капитала в увеличение производительности труда. </w:t>
      </w:r>
      <w:r w:rsidRPr="00B46E37">
        <w:rPr>
          <w:rFonts w:ascii="Times New Roman" w:hAnsi="Times New Roman"/>
          <w:sz w:val="28"/>
          <w:szCs w:val="28"/>
        </w:rPr>
        <w:t xml:space="preserve">Расчеты вклада отдельных факторов в динамику роста российской экономики за период </w:t>
      </w:r>
      <w:proofErr w:type="gramStart"/>
      <w:r w:rsidRPr="00B46E37">
        <w:rPr>
          <w:rFonts w:ascii="Times New Roman" w:hAnsi="Times New Roman"/>
          <w:sz w:val="28"/>
          <w:szCs w:val="28"/>
        </w:rPr>
        <w:t>2000-2019</w:t>
      </w:r>
      <w:proofErr w:type="gramEnd"/>
      <w:r w:rsidRPr="00B46E37">
        <w:rPr>
          <w:rFonts w:ascii="Times New Roman" w:hAnsi="Times New Roman"/>
          <w:sz w:val="28"/>
          <w:szCs w:val="28"/>
        </w:rPr>
        <w:t xml:space="preserve"> гг. показывают, что в целом по экономике вклад вещественного капитала в прирост производительности труда составлял 38%, а вклад прироста человеческого капитала составил около 62%. Это было измерено на основе модели производственной функции. Далее, естественно предполагать, что вклад человеческого капитала в прирост производительности труда зависит от уровня дифференциации заработной платы, </w:t>
      </w:r>
      <w:proofErr w:type="gramStart"/>
      <w:r w:rsidRPr="00B46E37">
        <w:rPr>
          <w:rFonts w:ascii="Times New Roman" w:hAnsi="Times New Roman"/>
          <w:sz w:val="28"/>
          <w:szCs w:val="28"/>
        </w:rPr>
        <w:t>т.к.</w:t>
      </w:r>
      <w:proofErr w:type="gramEnd"/>
      <w:r w:rsidRPr="00B46E37">
        <w:rPr>
          <w:rFonts w:ascii="Times New Roman" w:hAnsi="Times New Roman"/>
          <w:sz w:val="28"/>
          <w:szCs w:val="28"/>
        </w:rPr>
        <w:t xml:space="preserve"> высокий уровень ее фактически означает, что часть человеческого капитала (потенциала) не задействована в производстве продукции и де-факто является фиктивной. Исходя из этого, необходимо измерить связь между динамикой дифференциации оплаты труда в ретроспективном периоде и вкладом человеческого капитала в рост его производительности.</w:t>
      </w:r>
    </w:p>
    <w:p w14:paraId="65C54991" w14:textId="1010C991" w:rsidR="00B46E37" w:rsidRPr="00B46E37" w:rsidRDefault="00B46E37" w:rsidP="00B46E37">
      <w:pPr>
        <w:spacing w:after="0" w:line="360" w:lineRule="auto"/>
        <w:ind w:firstLine="567"/>
        <w:jc w:val="both"/>
        <w:rPr>
          <w:rFonts w:ascii="Times New Roman" w:hAnsi="Times New Roman"/>
          <w:sz w:val="28"/>
          <w:szCs w:val="28"/>
        </w:rPr>
      </w:pPr>
      <w:r w:rsidRPr="00B46E37">
        <w:rPr>
          <w:rFonts w:ascii="Times New Roman" w:hAnsi="Times New Roman"/>
          <w:sz w:val="28"/>
          <w:szCs w:val="28"/>
        </w:rPr>
        <w:t>В качестве показателя дифференциации заработной платы</w:t>
      </w:r>
      <w:r w:rsidR="00351D97">
        <w:rPr>
          <w:rFonts w:ascii="Times New Roman" w:hAnsi="Times New Roman"/>
          <w:sz w:val="28"/>
          <w:szCs w:val="28"/>
        </w:rPr>
        <w:t xml:space="preserve"> может быть</w:t>
      </w:r>
      <w:r w:rsidRPr="00B46E37">
        <w:rPr>
          <w:rFonts w:ascii="Times New Roman" w:hAnsi="Times New Roman"/>
          <w:sz w:val="28"/>
          <w:szCs w:val="28"/>
        </w:rPr>
        <w:t xml:space="preserve"> выбрано соотношение модального (</w:t>
      </w:r>
      <w:proofErr w:type="gramStart"/>
      <w:r w:rsidRPr="00B46E37">
        <w:rPr>
          <w:rFonts w:ascii="Times New Roman" w:hAnsi="Times New Roman"/>
          <w:sz w:val="28"/>
          <w:szCs w:val="28"/>
        </w:rPr>
        <w:t>т.е.</w:t>
      </w:r>
      <w:proofErr w:type="gramEnd"/>
      <w:r w:rsidRPr="00B46E37">
        <w:rPr>
          <w:rFonts w:ascii="Times New Roman" w:hAnsi="Times New Roman"/>
          <w:sz w:val="28"/>
          <w:szCs w:val="28"/>
        </w:rPr>
        <w:t xml:space="preserve"> наиболее типичного уровня заработной платы) и среднего уровня заработной платы. Эти расчеты произведены на основе официальных данных обследований Росстата за апрель соответствующих лет с последующим выравниванием распределений по логнормальной модели. За годы, когда такие обследования не проводились, была применена интерполяция. Проведенные расчеты показывают, что по экономике в целом за период </w:t>
      </w:r>
      <w:proofErr w:type="gramStart"/>
      <w:r w:rsidRPr="00B46E37">
        <w:rPr>
          <w:rFonts w:ascii="Times New Roman" w:hAnsi="Times New Roman"/>
          <w:sz w:val="28"/>
          <w:szCs w:val="28"/>
        </w:rPr>
        <w:t>2000-2019</w:t>
      </w:r>
      <w:proofErr w:type="gramEnd"/>
      <w:r w:rsidRPr="00B46E37">
        <w:rPr>
          <w:rFonts w:ascii="Times New Roman" w:hAnsi="Times New Roman"/>
          <w:sz w:val="28"/>
          <w:szCs w:val="28"/>
        </w:rPr>
        <w:t xml:space="preserve"> гг. соотношение модального и среднего уровня оплаты труда менялось следующим образом (табл. </w:t>
      </w:r>
      <w:r>
        <w:rPr>
          <w:rFonts w:ascii="Times New Roman" w:hAnsi="Times New Roman"/>
          <w:sz w:val="28"/>
          <w:szCs w:val="28"/>
        </w:rPr>
        <w:t>5.</w:t>
      </w:r>
      <w:r w:rsidR="00351D97">
        <w:rPr>
          <w:rFonts w:ascii="Times New Roman" w:hAnsi="Times New Roman"/>
          <w:sz w:val="28"/>
          <w:szCs w:val="28"/>
        </w:rPr>
        <w:t>3</w:t>
      </w:r>
      <w:r w:rsidRPr="00B46E37">
        <w:rPr>
          <w:rFonts w:ascii="Times New Roman" w:hAnsi="Times New Roman"/>
          <w:sz w:val="28"/>
          <w:szCs w:val="28"/>
        </w:rPr>
        <w:t>).</w:t>
      </w:r>
    </w:p>
    <w:p w14:paraId="5CA43131" w14:textId="0E4D0763" w:rsidR="00B46E37" w:rsidRPr="00351D97" w:rsidRDefault="00B46E37" w:rsidP="00B46E37">
      <w:pPr>
        <w:spacing w:after="0" w:line="360" w:lineRule="auto"/>
        <w:rPr>
          <w:rFonts w:ascii="Times New Roman" w:hAnsi="Times New Roman" w:cs="Times New Roman"/>
          <w:sz w:val="28"/>
          <w:szCs w:val="28"/>
        </w:rPr>
      </w:pPr>
      <w:r w:rsidRPr="00351D97">
        <w:rPr>
          <w:rFonts w:ascii="Times New Roman" w:hAnsi="Times New Roman" w:cs="Times New Roman"/>
          <w:sz w:val="28"/>
          <w:szCs w:val="28"/>
        </w:rPr>
        <w:t>Табл</w:t>
      </w:r>
      <w:r w:rsidR="00351D97">
        <w:rPr>
          <w:rFonts w:ascii="Times New Roman" w:hAnsi="Times New Roman" w:cs="Times New Roman"/>
          <w:sz w:val="28"/>
          <w:szCs w:val="28"/>
        </w:rPr>
        <w:t>ица. 5.3</w:t>
      </w:r>
      <w:r w:rsidRPr="00351D97">
        <w:rPr>
          <w:rFonts w:ascii="Times New Roman" w:hAnsi="Times New Roman" w:cs="Times New Roman"/>
          <w:sz w:val="28"/>
          <w:szCs w:val="28"/>
        </w:rPr>
        <w:t xml:space="preserve"> Динамика соотношения модального и среднего уровня оплаты труда в российской экономике за </w:t>
      </w:r>
      <w:proofErr w:type="gramStart"/>
      <w:r w:rsidRPr="00351D97">
        <w:rPr>
          <w:rFonts w:ascii="Times New Roman" w:hAnsi="Times New Roman" w:cs="Times New Roman"/>
          <w:sz w:val="28"/>
          <w:szCs w:val="28"/>
        </w:rPr>
        <w:t>2000-2019</w:t>
      </w:r>
      <w:proofErr w:type="gramEnd"/>
      <w:r w:rsidRPr="00351D97">
        <w:rPr>
          <w:rFonts w:ascii="Times New Roman" w:hAnsi="Times New Roman" w:cs="Times New Roman"/>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3839"/>
        <w:gridCol w:w="1106"/>
        <w:gridCol w:w="3704"/>
      </w:tblGrid>
      <w:tr w:rsidR="00B46E37" w:rsidRPr="00956C1A" w14:paraId="3C61905C" w14:textId="77777777" w:rsidTr="00351D97">
        <w:trPr>
          <w:trHeight w:val="300"/>
        </w:trPr>
        <w:tc>
          <w:tcPr>
            <w:tcW w:w="372" w:type="pct"/>
            <w:vAlign w:val="bottom"/>
          </w:tcPr>
          <w:p w14:paraId="75E9BEF6"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Годы</w:t>
            </w:r>
          </w:p>
        </w:tc>
        <w:tc>
          <w:tcPr>
            <w:tcW w:w="2054" w:type="pct"/>
            <w:shd w:val="clear" w:color="auto" w:fill="auto"/>
            <w:noWrap/>
            <w:vAlign w:val="bottom"/>
            <w:hideMark/>
          </w:tcPr>
          <w:p w14:paraId="234FDB41"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Соотношение модального и среднего уровня оплаты труда</w:t>
            </w:r>
          </w:p>
        </w:tc>
        <w:tc>
          <w:tcPr>
            <w:tcW w:w="592" w:type="pct"/>
          </w:tcPr>
          <w:p w14:paraId="249F74F0" w14:textId="7A531ED2" w:rsidR="00B46E37" w:rsidRPr="00956C1A" w:rsidRDefault="00351D97" w:rsidP="00A06AFB">
            <w:pPr>
              <w:spacing w:after="0" w:line="240" w:lineRule="auto"/>
              <w:jc w:val="both"/>
              <w:rPr>
                <w:rFonts w:ascii="Times New Roman" w:hAnsi="Times New Roman"/>
                <w:color w:val="000000"/>
              </w:rPr>
            </w:pPr>
            <w:r>
              <w:rPr>
                <w:rFonts w:ascii="Times New Roman" w:hAnsi="Times New Roman"/>
                <w:color w:val="000000"/>
              </w:rPr>
              <w:t>Г</w:t>
            </w:r>
            <w:r w:rsidR="00B46E37" w:rsidRPr="00956C1A">
              <w:rPr>
                <w:rFonts w:ascii="Times New Roman" w:hAnsi="Times New Roman"/>
                <w:color w:val="000000"/>
              </w:rPr>
              <w:t>оды</w:t>
            </w:r>
          </w:p>
        </w:tc>
        <w:tc>
          <w:tcPr>
            <w:tcW w:w="1982" w:type="pct"/>
          </w:tcPr>
          <w:p w14:paraId="1455D88F"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Соотношение модального и среднего уровня оплаты труда</w:t>
            </w:r>
          </w:p>
        </w:tc>
      </w:tr>
      <w:tr w:rsidR="00B46E37" w:rsidRPr="00956C1A" w14:paraId="2D236B3D" w14:textId="77777777" w:rsidTr="00351D97">
        <w:trPr>
          <w:trHeight w:val="300"/>
        </w:trPr>
        <w:tc>
          <w:tcPr>
            <w:tcW w:w="372" w:type="pct"/>
            <w:vAlign w:val="bottom"/>
          </w:tcPr>
          <w:p w14:paraId="05EBEBEC"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2000</w:t>
            </w:r>
          </w:p>
        </w:tc>
        <w:tc>
          <w:tcPr>
            <w:tcW w:w="2054" w:type="pct"/>
            <w:shd w:val="clear" w:color="auto" w:fill="auto"/>
            <w:noWrap/>
            <w:vAlign w:val="bottom"/>
            <w:hideMark/>
          </w:tcPr>
          <w:p w14:paraId="46C66FAF"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0,24</w:t>
            </w:r>
          </w:p>
        </w:tc>
        <w:tc>
          <w:tcPr>
            <w:tcW w:w="592" w:type="pct"/>
            <w:vAlign w:val="bottom"/>
          </w:tcPr>
          <w:p w14:paraId="45B77A32"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2010</w:t>
            </w:r>
          </w:p>
        </w:tc>
        <w:tc>
          <w:tcPr>
            <w:tcW w:w="1982" w:type="pct"/>
            <w:vAlign w:val="bottom"/>
          </w:tcPr>
          <w:p w14:paraId="2AD7A00A"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0,30</w:t>
            </w:r>
          </w:p>
        </w:tc>
      </w:tr>
      <w:tr w:rsidR="00B46E37" w:rsidRPr="00956C1A" w14:paraId="41C09DCD" w14:textId="77777777" w:rsidTr="00351D97">
        <w:trPr>
          <w:trHeight w:val="300"/>
        </w:trPr>
        <w:tc>
          <w:tcPr>
            <w:tcW w:w="372" w:type="pct"/>
            <w:vAlign w:val="bottom"/>
          </w:tcPr>
          <w:p w14:paraId="42D5C133"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2001</w:t>
            </w:r>
          </w:p>
        </w:tc>
        <w:tc>
          <w:tcPr>
            <w:tcW w:w="2054" w:type="pct"/>
            <w:shd w:val="clear" w:color="auto" w:fill="auto"/>
            <w:noWrap/>
            <w:vAlign w:val="bottom"/>
            <w:hideMark/>
          </w:tcPr>
          <w:p w14:paraId="1D61AAA7"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0,20</w:t>
            </w:r>
          </w:p>
        </w:tc>
        <w:tc>
          <w:tcPr>
            <w:tcW w:w="592" w:type="pct"/>
            <w:vAlign w:val="bottom"/>
          </w:tcPr>
          <w:p w14:paraId="46DC9C70"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2011</w:t>
            </w:r>
          </w:p>
        </w:tc>
        <w:tc>
          <w:tcPr>
            <w:tcW w:w="1982" w:type="pct"/>
            <w:vAlign w:val="bottom"/>
          </w:tcPr>
          <w:p w14:paraId="186A5160"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0,30</w:t>
            </w:r>
          </w:p>
        </w:tc>
      </w:tr>
      <w:tr w:rsidR="00B46E37" w:rsidRPr="00956C1A" w14:paraId="1339E94D" w14:textId="77777777" w:rsidTr="00351D97">
        <w:trPr>
          <w:trHeight w:val="300"/>
        </w:trPr>
        <w:tc>
          <w:tcPr>
            <w:tcW w:w="372" w:type="pct"/>
            <w:vAlign w:val="bottom"/>
          </w:tcPr>
          <w:p w14:paraId="157297B8"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2002</w:t>
            </w:r>
          </w:p>
        </w:tc>
        <w:tc>
          <w:tcPr>
            <w:tcW w:w="2054" w:type="pct"/>
            <w:shd w:val="clear" w:color="auto" w:fill="auto"/>
            <w:noWrap/>
            <w:vAlign w:val="bottom"/>
            <w:hideMark/>
          </w:tcPr>
          <w:p w14:paraId="683323F1"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0,24</w:t>
            </w:r>
          </w:p>
        </w:tc>
        <w:tc>
          <w:tcPr>
            <w:tcW w:w="592" w:type="pct"/>
            <w:vAlign w:val="bottom"/>
          </w:tcPr>
          <w:p w14:paraId="0CF6B3F0"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2012</w:t>
            </w:r>
          </w:p>
        </w:tc>
        <w:tc>
          <w:tcPr>
            <w:tcW w:w="1982" w:type="pct"/>
            <w:vAlign w:val="bottom"/>
          </w:tcPr>
          <w:p w14:paraId="6F61BA6D"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0,31</w:t>
            </w:r>
          </w:p>
        </w:tc>
      </w:tr>
      <w:tr w:rsidR="00B46E37" w:rsidRPr="00956C1A" w14:paraId="79262B49" w14:textId="77777777" w:rsidTr="00351D97">
        <w:trPr>
          <w:trHeight w:val="300"/>
        </w:trPr>
        <w:tc>
          <w:tcPr>
            <w:tcW w:w="372" w:type="pct"/>
            <w:vAlign w:val="bottom"/>
          </w:tcPr>
          <w:p w14:paraId="2FB7F2A2"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2003</w:t>
            </w:r>
          </w:p>
        </w:tc>
        <w:tc>
          <w:tcPr>
            <w:tcW w:w="2054" w:type="pct"/>
            <w:shd w:val="clear" w:color="auto" w:fill="auto"/>
            <w:noWrap/>
            <w:vAlign w:val="bottom"/>
            <w:hideMark/>
          </w:tcPr>
          <w:p w14:paraId="3EE40B84"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0,23</w:t>
            </w:r>
          </w:p>
        </w:tc>
        <w:tc>
          <w:tcPr>
            <w:tcW w:w="592" w:type="pct"/>
            <w:vAlign w:val="bottom"/>
          </w:tcPr>
          <w:p w14:paraId="4D9A988D"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2013</w:t>
            </w:r>
          </w:p>
        </w:tc>
        <w:tc>
          <w:tcPr>
            <w:tcW w:w="1982" w:type="pct"/>
            <w:vAlign w:val="bottom"/>
          </w:tcPr>
          <w:p w14:paraId="3EDB2BA5"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0,31</w:t>
            </w:r>
          </w:p>
        </w:tc>
      </w:tr>
      <w:tr w:rsidR="00B46E37" w:rsidRPr="00956C1A" w14:paraId="1D9A5600" w14:textId="77777777" w:rsidTr="00351D97">
        <w:trPr>
          <w:trHeight w:val="300"/>
        </w:trPr>
        <w:tc>
          <w:tcPr>
            <w:tcW w:w="372" w:type="pct"/>
            <w:vAlign w:val="bottom"/>
          </w:tcPr>
          <w:p w14:paraId="48578143"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2004</w:t>
            </w:r>
          </w:p>
        </w:tc>
        <w:tc>
          <w:tcPr>
            <w:tcW w:w="2054" w:type="pct"/>
            <w:shd w:val="clear" w:color="auto" w:fill="auto"/>
            <w:noWrap/>
            <w:vAlign w:val="bottom"/>
            <w:hideMark/>
          </w:tcPr>
          <w:p w14:paraId="6006B6FD"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0,25</w:t>
            </w:r>
          </w:p>
        </w:tc>
        <w:tc>
          <w:tcPr>
            <w:tcW w:w="592" w:type="pct"/>
            <w:vAlign w:val="bottom"/>
          </w:tcPr>
          <w:p w14:paraId="7CA6E4F8"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2014</w:t>
            </w:r>
          </w:p>
        </w:tc>
        <w:tc>
          <w:tcPr>
            <w:tcW w:w="1982" w:type="pct"/>
            <w:vAlign w:val="bottom"/>
          </w:tcPr>
          <w:p w14:paraId="29AAEEDD"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0,31</w:t>
            </w:r>
          </w:p>
        </w:tc>
      </w:tr>
      <w:tr w:rsidR="00B46E37" w:rsidRPr="00956C1A" w14:paraId="175340C2" w14:textId="77777777" w:rsidTr="00351D97">
        <w:trPr>
          <w:trHeight w:val="300"/>
        </w:trPr>
        <w:tc>
          <w:tcPr>
            <w:tcW w:w="372" w:type="pct"/>
            <w:vAlign w:val="bottom"/>
          </w:tcPr>
          <w:p w14:paraId="44E1FCF1"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2005</w:t>
            </w:r>
          </w:p>
        </w:tc>
        <w:tc>
          <w:tcPr>
            <w:tcW w:w="2054" w:type="pct"/>
            <w:shd w:val="clear" w:color="auto" w:fill="auto"/>
            <w:noWrap/>
            <w:vAlign w:val="bottom"/>
            <w:hideMark/>
          </w:tcPr>
          <w:p w14:paraId="2CB17335"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0,26</w:t>
            </w:r>
          </w:p>
        </w:tc>
        <w:tc>
          <w:tcPr>
            <w:tcW w:w="592" w:type="pct"/>
            <w:vAlign w:val="bottom"/>
          </w:tcPr>
          <w:p w14:paraId="2E9D80F0"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2015</w:t>
            </w:r>
          </w:p>
        </w:tc>
        <w:tc>
          <w:tcPr>
            <w:tcW w:w="1982" w:type="pct"/>
            <w:vAlign w:val="bottom"/>
          </w:tcPr>
          <w:p w14:paraId="6B683201"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0,33</w:t>
            </w:r>
          </w:p>
        </w:tc>
      </w:tr>
      <w:tr w:rsidR="00B46E37" w:rsidRPr="00956C1A" w14:paraId="6879B5C3" w14:textId="77777777" w:rsidTr="00351D97">
        <w:trPr>
          <w:trHeight w:val="315"/>
        </w:trPr>
        <w:tc>
          <w:tcPr>
            <w:tcW w:w="372" w:type="pct"/>
            <w:vAlign w:val="bottom"/>
          </w:tcPr>
          <w:p w14:paraId="6FE817A2"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2006</w:t>
            </w:r>
          </w:p>
        </w:tc>
        <w:tc>
          <w:tcPr>
            <w:tcW w:w="2054" w:type="pct"/>
            <w:shd w:val="clear" w:color="auto" w:fill="auto"/>
            <w:noWrap/>
            <w:vAlign w:val="bottom"/>
            <w:hideMark/>
          </w:tcPr>
          <w:p w14:paraId="35DF94CB"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0,26</w:t>
            </w:r>
          </w:p>
        </w:tc>
        <w:tc>
          <w:tcPr>
            <w:tcW w:w="592" w:type="pct"/>
            <w:vAlign w:val="bottom"/>
          </w:tcPr>
          <w:p w14:paraId="5D5BFBCC"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2016</w:t>
            </w:r>
          </w:p>
        </w:tc>
        <w:tc>
          <w:tcPr>
            <w:tcW w:w="1982" w:type="pct"/>
            <w:vAlign w:val="bottom"/>
          </w:tcPr>
          <w:p w14:paraId="2CD7A8F6"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0,32</w:t>
            </w:r>
          </w:p>
        </w:tc>
      </w:tr>
      <w:tr w:rsidR="00B46E37" w:rsidRPr="00956C1A" w14:paraId="472DF6EF" w14:textId="77777777" w:rsidTr="00351D97">
        <w:trPr>
          <w:trHeight w:val="300"/>
        </w:trPr>
        <w:tc>
          <w:tcPr>
            <w:tcW w:w="372" w:type="pct"/>
            <w:vAlign w:val="bottom"/>
          </w:tcPr>
          <w:p w14:paraId="203EF639"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2007</w:t>
            </w:r>
          </w:p>
        </w:tc>
        <w:tc>
          <w:tcPr>
            <w:tcW w:w="2054" w:type="pct"/>
            <w:shd w:val="clear" w:color="auto" w:fill="auto"/>
            <w:noWrap/>
            <w:vAlign w:val="bottom"/>
            <w:hideMark/>
          </w:tcPr>
          <w:p w14:paraId="2A78B044"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0,28</w:t>
            </w:r>
          </w:p>
        </w:tc>
        <w:tc>
          <w:tcPr>
            <w:tcW w:w="592" w:type="pct"/>
            <w:vAlign w:val="bottom"/>
          </w:tcPr>
          <w:p w14:paraId="730EE615"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2017</w:t>
            </w:r>
          </w:p>
        </w:tc>
        <w:tc>
          <w:tcPr>
            <w:tcW w:w="1982" w:type="pct"/>
            <w:vAlign w:val="bottom"/>
          </w:tcPr>
          <w:p w14:paraId="1D9DBB7A"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0,32</w:t>
            </w:r>
          </w:p>
        </w:tc>
      </w:tr>
      <w:tr w:rsidR="00B46E37" w:rsidRPr="00956C1A" w14:paraId="2EAA7AB5" w14:textId="77777777" w:rsidTr="00351D97">
        <w:trPr>
          <w:trHeight w:val="300"/>
        </w:trPr>
        <w:tc>
          <w:tcPr>
            <w:tcW w:w="372" w:type="pct"/>
            <w:vAlign w:val="bottom"/>
          </w:tcPr>
          <w:p w14:paraId="496710D5"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2008</w:t>
            </w:r>
          </w:p>
        </w:tc>
        <w:tc>
          <w:tcPr>
            <w:tcW w:w="2054" w:type="pct"/>
            <w:shd w:val="clear" w:color="auto" w:fill="auto"/>
            <w:noWrap/>
            <w:vAlign w:val="bottom"/>
            <w:hideMark/>
          </w:tcPr>
          <w:p w14:paraId="11FD8556"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0,33</w:t>
            </w:r>
          </w:p>
        </w:tc>
        <w:tc>
          <w:tcPr>
            <w:tcW w:w="592" w:type="pct"/>
            <w:vAlign w:val="bottom"/>
          </w:tcPr>
          <w:p w14:paraId="45F0F26F"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2018</w:t>
            </w:r>
          </w:p>
        </w:tc>
        <w:tc>
          <w:tcPr>
            <w:tcW w:w="1982" w:type="pct"/>
            <w:vAlign w:val="bottom"/>
          </w:tcPr>
          <w:p w14:paraId="47915D06"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0,34</w:t>
            </w:r>
          </w:p>
        </w:tc>
      </w:tr>
      <w:tr w:rsidR="00B46E37" w:rsidRPr="00956C1A" w14:paraId="2FF96F60" w14:textId="77777777" w:rsidTr="00351D97">
        <w:trPr>
          <w:trHeight w:val="300"/>
        </w:trPr>
        <w:tc>
          <w:tcPr>
            <w:tcW w:w="372" w:type="pct"/>
            <w:vAlign w:val="bottom"/>
          </w:tcPr>
          <w:p w14:paraId="5D324F30" w14:textId="77777777" w:rsidR="00B46E37" w:rsidRPr="00956C1A" w:rsidRDefault="00B46E37" w:rsidP="00A06AFB">
            <w:pPr>
              <w:spacing w:after="0" w:line="240" w:lineRule="auto"/>
              <w:jc w:val="both"/>
              <w:rPr>
                <w:rFonts w:ascii="Times New Roman" w:hAnsi="Times New Roman"/>
                <w:color w:val="000000"/>
              </w:rPr>
            </w:pPr>
            <w:r w:rsidRPr="00956C1A">
              <w:rPr>
                <w:rFonts w:ascii="Times New Roman" w:hAnsi="Times New Roman"/>
                <w:color w:val="000000"/>
              </w:rPr>
              <w:t>2009</w:t>
            </w:r>
          </w:p>
        </w:tc>
        <w:tc>
          <w:tcPr>
            <w:tcW w:w="2054" w:type="pct"/>
            <w:shd w:val="clear" w:color="auto" w:fill="auto"/>
            <w:noWrap/>
            <w:vAlign w:val="bottom"/>
            <w:hideMark/>
          </w:tcPr>
          <w:p w14:paraId="6E14D1AE"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0,33</w:t>
            </w:r>
          </w:p>
        </w:tc>
        <w:tc>
          <w:tcPr>
            <w:tcW w:w="592" w:type="pct"/>
          </w:tcPr>
          <w:p w14:paraId="2FBCF9F9" w14:textId="77777777" w:rsidR="00B46E37" w:rsidRPr="00956C1A" w:rsidRDefault="00B46E37" w:rsidP="00A06AFB">
            <w:pPr>
              <w:spacing w:after="0" w:line="240" w:lineRule="auto"/>
              <w:rPr>
                <w:rFonts w:ascii="Times New Roman" w:hAnsi="Times New Roman"/>
                <w:color w:val="000000"/>
              </w:rPr>
            </w:pPr>
            <w:r w:rsidRPr="00956C1A">
              <w:rPr>
                <w:rFonts w:ascii="Times New Roman" w:hAnsi="Times New Roman"/>
                <w:color w:val="000000"/>
              </w:rPr>
              <w:t>2019</w:t>
            </w:r>
          </w:p>
        </w:tc>
        <w:tc>
          <w:tcPr>
            <w:tcW w:w="1982" w:type="pct"/>
          </w:tcPr>
          <w:p w14:paraId="7FCE7F5F" w14:textId="77777777" w:rsidR="00B46E37" w:rsidRPr="00956C1A" w:rsidRDefault="00B46E37" w:rsidP="00351D97">
            <w:pPr>
              <w:spacing w:after="0" w:line="240" w:lineRule="auto"/>
              <w:jc w:val="center"/>
              <w:rPr>
                <w:rFonts w:ascii="Times New Roman" w:hAnsi="Times New Roman"/>
                <w:color w:val="000000"/>
              </w:rPr>
            </w:pPr>
            <w:r w:rsidRPr="00956C1A">
              <w:rPr>
                <w:rFonts w:ascii="Times New Roman" w:hAnsi="Times New Roman"/>
                <w:color w:val="000000"/>
              </w:rPr>
              <w:t>0,35</w:t>
            </w:r>
          </w:p>
        </w:tc>
      </w:tr>
    </w:tbl>
    <w:p w14:paraId="7F5CD10B" w14:textId="77777777" w:rsidR="00351D97" w:rsidRPr="007C32A8" w:rsidRDefault="00351D97" w:rsidP="00351D97">
      <w:pPr>
        <w:ind w:firstLine="567"/>
        <w:rPr>
          <w:rFonts w:ascii="Times New Roman" w:hAnsi="Times New Roman" w:cs="Times New Roman"/>
          <w:i/>
        </w:rPr>
      </w:pPr>
      <w:r w:rsidRPr="007C32A8">
        <w:rPr>
          <w:rFonts w:ascii="Times New Roman" w:hAnsi="Times New Roman" w:cs="Times New Roman"/>
          <w:i/>
        </w:rPr>
        <w:t xml:space="preserve">Источник: Росстат, расчеты </w:t>
      </w:r>
      <w:r>
        <w:rPr>
          <w:rFonts w:ascii="Times New Roman" w:hAnsi="Times New Roman" w:cs="Times New Roman"/>
          <w:i/>
        </w:rPr>
        <w:t>ИНП РАН</w:t>
      </w:r>
    </w:p>
    <w:p w14:paraId="0F328620" w14:textId="77777777" w:rsidR="00B46E37" w:rsidRDefault="00B46E37" w:rsidP="00B46E37">
      <w:pPr>
        <w:spacing w:after="0" w:line="360" w:lineRule="auto"/>
        <w:jc w:val="both"/>
        <w:rPr>
          <w:rFonts w:ascii="Times New Roman" w:hAnsi="Times New Roman"/>
          <w:sz w:val="24"/>
          <w:szCs w:val="24"/>
        </w:rPr>
      </w:pPr>
    </w:p>
    <w:p w14:paraId="205041B5" w14:textId="77777777" w:rsidR="00B46E37" w:rsidRPr="00351D97" w:rsidRDefault="00B46E37" w:rsidP="00351D97">
      <w:pPr>
        <w:spacing w:after="0" w:line="360" w:lineRule="auto"/>
        <w:ind w:firstLine="567"/>
        <w:jc w:val="both"/>
        <w:rPr>
          <w:rFonts w:ascii="Times New Roman" w:hAnsi="Times New Roman"/>
          <w:sz w:val="28"/>
          <w:szCs w:val="28"/>
        </w:rPr>
      </w:pPr>
      <w:r w:rsidRPr="00351D97">
        <w:rPr>
          <w:rFonts w:ascii="Times New Roman" w:hAnsi="Times New Roman"/>
          <w:sz w:val="28"/>
          <w:szCs w:val="28"/>
        </w:rPr>
        <w:t xml:space="preserve">Расчеты на основе этих данных показывают, что вклад повышения уровня модальной заработной платы по отношению к ее среднему уровню по экономике РФ в целом выражался в том, что на 1% прироста этого соотношения прирост производительности труда составлял 0,68%, имея в виду лишь вклад человеческого капитала. </w:t>
      </w:r>
    </w:p>
    <w:p w14:paraId="41F58C8E" w14:textId="6FD966D5" w:rsidR="00B46E37" w:rsidRPr="00351D97" w:rsidRDefault="00B46E37" w:rsidP="00351D97">
      <w:pPr>
        <w:spacing w:after="0" w:line="360" w:lineRule="auto"/>
        <w:ind w:firstLine="567"/>
        <w:jc w:val="both"/>
        <w:rPr>
          <w:rFonts w:ascii="Times New Roman" w:hAnsi="Times New Roman"/>
          <w:sz w:val="28"/>
          <w:szCs w:val="28"/>
        </w:rPr>
      </w:pPr>
      <w:r w:rsidRPr="00351D97">
        <w:rPr>
          <w:rFonts w:ascii="Times New Roman" w:hAnsi="Times New Roman"/>
          <w:sz w:val="28"/>
          <w:szCs w:val="28"/>
        </w:rPr>
        <w:t xml:space="preserve">Разумеется, что этими результатами нужно пользоваться осторожно, учитывая, что мы не имеем четких представлений о возможной границе снижения дифференциации зарплаты и невозможно на основе имеющихся статистических данных измерить асимптоты этих изменений. Но не подлежит сомнению, что повышение соотношения модального уровня оплаты труда и уровня средней оплаты труда примерно до 50% (что соответствует снижению </w:t>
      </w:r>
      <w:proofErr w:type="spellStart"/>
      <w:r w:rsidRPr="00351D97">
        <w:rPr>
          <w:rFonts w:ascii="Times New Roman" w:hAnsi="Times New Roman"/>
          <w:sz w:val="28"/>
          <w:szCs w:val="28"/>
        </w:rPr>
        <w:t>децильного</w:t>
      </w:r>
      <w:proofErr w:type="spellEnd"/>
      <w:r w:rsidRPr="00351D97">
        <w:rPr>
          <w:rFonts w:ascii="Times New Roman" w:hAnsi="Times New Roman"/>
          <w:sz w:val="28"/>
          <w:szCs w:val="28"/>
        </w:rPr>
        <w:t xml:space="preserve"> коэффициента фондов до уровня в 5 раз по сравнению с нынешним значением в 13 раз) </w:t>
      </w:r>
      <w:r w:rsidR="00351D97">
        <w:rPr>
          <w:rFonts w:ascii="Times New Roman" w:hAnsi="Times New Roman"/>
          <w:sz w:val="28"/>
          <w:szCs w:val="28"/>
        </w:rPr>
        <w:t>соответствует переходу к стандартам</w:t>
      </w:r>
      <w:r w:rsidRPr="00351D97">
        <w:rPr>
          <w:rFonts w:ascii="Times New Roman" w:hAnsi="Times New Roman"/>
          <w:sz w:val="28"/>
          <w:szCs w:val="28"/>
        </w:rPr>
        <w:t xml:space="preserve"> ЕС до возникновения пандемии</w:t>
      </w:r>
      <w:r w:rsidR="00351D97">
        <w:rPr>
          <w:rFonts w:ascii="Times New Roman" w:hAnsi="Times New Roman"/>
          <w:sz w:val="28"/>
          <w:szCs w:val="28"/>
        </w:rPr>
        <w:t xml:space="preserve"> нового коронавируса</w:t>
      </w:r>
      <w:r w:rsidRPr="00351D97">
        <w:rPr>
          <w:rFonts w:ascii="Times New Roman" w:hAnsi="Times New Roman"/>
          <w:sz w:val="28"/>
          <w:szCs w:val="28"/>
        </w:rPr>
        <w:t>.</w:t>
      </w:r>
    </w:p>
    <w:p w14:paraId="041DE839" w14:textId="77777777" w:rsidR="00B46E37" w:rsidRPr="00351D97" w:rsidRDefault="00B46E37" w:rsidP="00351D97">
      <w:pPr>
        <w:spacing w:after="0" w:line="360" w:lineRule="auto"/>
        <w:ind w:firstLine="567"/>
        <w:jc w:val="both"/>
        <w:rPr>
          <w:rFonts w:ascii="Times New Roman" w:hAnsi="Times New Roman"/>
          <w:sz w:val="28"/>
          <w:szCs w:val="28"/>
        </w:rPr>
      </w:pPr>
      <w:r w:rsidRPr="00351D97">
        <w:rPr>
          <w:rFonts w:ascii="Times New Roman" w:hAnsi="Times New Roman"/>
          <w:sz w:val="28"/>
          <w:szCs w:val="28"/>
        </w:rPr>
        <w:t>Применительно к совокупности видов экономической деятельности «Обрабатывающие производства» коэффициент эластичности производительности труда по соотношению модальной и средней оплаты труда составляет несколько меньше – 0,4. Это означает, что вклад человеческого капитала в рост производительности труда в данном секторе был ниже, чем по экономике в целом. Соответственно, вклад человеческого капитала в общий прирост производительности труда составил округленно 35%. Данный результат представляется закономерным, если учесть, что в составе ВВП имеется ряд компонентов (в частности, нерыночные услуги), применительно к которым показатель динамики производительности труда невозможно точно определить по сравнению с рыночными товарами и услугами, составляющими агрегат «Обрабатывающие производства».</w:t>
      </w:r>
    </w:p>
    <w:p w14:paraId="0A6294DF" w14:textId="77777777" w:rsidR="00B46E37" w:rsidRPr="00351D97" w:rsidRDefault="00B46E37" w:rsidP="00351D97">
      <w:pPr>
        <w:spacing w:after="0" w:line="360" w:lineRule="auto"/>
        <w:ind w:firstLine="567"/>
        <w:jc w:val="both"/>
        <w:rPr>
          <w:rFonts w:ascii="Times New Roman" w:hAnsi="Times New Roman"/>
          <w:sz w:val="28"/>
          <w:szCs w:val="28"/>
        </w:rPr>
      </w:pPr>
      <w:r w:rsidRPr="00351D97">
        <w:rPr>
          <w:rFonts w:ascii="Times New Roman" w:hAnsi="Times New Roman"/>
          <w:sz w:val="28"/>
          <w:szCs w:val="28"/>
        </w:rPr>
        <w:t>В целом по результатам выполненных расчетов можно констатировать, что снижение дифференциации оплаты труда является значимым фактором повышения его производительности.</w:t>
      </w:r>
    </w:p>
    <w:p w14:paraId="02F5F167" w14:textId="77777777" w:rsidR="00B46E37" w:rsidRDefault="00B46E37" w:rsidP="00B46E37"/>
    <w:p w14:paraId="78E78AD0" w14:textId="77777777" w:rsidR="00B46E37" w:rsidRPr="007C32A8" w:rsidRDefault="00B46E37" w:rsidP="007C32A8">
      <w:pPr>
        <w:spacing w:line="360" w:lineRule="auto"/>
        <w:ind w:firstLine="567"/>
        <w:jc w:val="both"/>
        <w:rPr>
          <w:rFonts w:ascii="Times New Roman" w:hAnsi="Times New Roman" w:cs="Times New Roman"/>
          <w:sz w:val="28"/>
          <w:szCs w:val="28"/>
        </w:rPr>
      </w:pPr>
    </w:p>
    <w:p w14:paraId="4544D135" w14:textId="77777777" w:rsidR="007C32A8" w:rsidRPr="007C32A8" w:rsidRDefault="007C32A8" w:rsidP="007C32A8">
      <w:pPr>
        <w:spacing w:after="0" w:line="360" w:lineRule="auto"/>
        <w:ind w:firstLine="567"/>
        <w:jc w:val="both"/>
        <w:rPr>
          <w:rFonts w:ascii="Times New Roman" w:hAnsi="Times New Roman" w:cs="Times New Roman"/>
          <w:i/>
          <w:iCs/>
          <w:sz w:val="28"/>
          <w:szCs w:val="28"/>
        </w:rPr>
      </w:pPr>
      <w:r w:rsidRPr="007C32A8">
        <w:rPr>
          <w:rFonts w:ascii="Times New Roman" w:hAnsi="Times New Roman" w:cs="Times New Roman"/>
          <w:i/>
          <w:iCs/>
          <w:sz w:val="28"/>
          <w:szCs w:val="28"/>
        </w:rPr>
        <w:t>Структурный фактор роста экономики.</w:t>
      </w:r>
    </w:p>
    <w:p w14:paraId="7C1AA894"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На динамику производительности труда в целом по экономике оказывает влияние структурный фактор. Потенциал и направление воздействия структурных сдвигов зависит от соотношения отраслевой производительности труда и изменения структуры производства (валовых выпусков). При этом существенным фактором является также исходная структура выпуска базового года.</w:t>
      </w:r>
    </w:p>
    <w:p w14:paraId="25C23D2A"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В целом отраслевая структура занятого населения в России за период с 1980 по 2017 гг. менялась в соответствии с движением занятых в экономиках развитых стран</w:t>
      </w:r>
      <w:r>
        <w:rPr>
          <w:rStyle w:val="ad"/>
          <w:rFonts w:ascii="Times New Roman" w:hAnsi="Times New Roman" w:cs="Times New Roman"/>
          <w:sz w:val="28"/>
          <w:szCs w:val="28"/>
        </w:rPr>
        <w:footnoteReference w:id="25"/>
      </w:r>
      <w:r w:rsidRPr="007C32A8">
        <w:rPr>
          <w:rFonts w:ascii="Times New Roman" w:hAnsi="Times New Roman" w:cs="Times New Roman"/>
          <w:sz w:val="28"/>
          <w:szCs w:val="28"/>
        </w:rPr>
        <w:t xml:space="preserve">. Доля занятых в обрабатывающих производствах в общей структуре занятости снизилась на 16 </w:t>
      </w:r>
      <w:proofErr w:type="spellStart"/>
      <w:r w:rsidRPr="007C32A8">
        <w:rPr>
          <w:rFonts w:ascii="Times New Roman" w:hAnsi="Times New Roman" w:cs="Times New Roman"/>
          <w:sz w:val="28"/>
          <w:szCs w:val="28"/>
        </w:rPr>
        <w:t>п.п</w:t>
      </w:r>
      <w:proofErr w:type="spellEnd"/>
      <w:r w:rsidRPr="007C32A8">
        <w:rPr>
          <w:rFonts w:ascii="Times New Roman" w:hAnsi="Times New Roman" w:cs="Times New Roman"/>
          <w:sz w:val="28"/>
          <w:szCs w:val="28"/>
        </w:rPr>
        <w:t xml:space="preserve">., в сельском хозяйстве - на 6 </w:t>
      </w:r>
      <w:proofErr w:type="spellStart"/>
      <w:r w:rsidRPr="007C32A8">
        <w:rPr>
          <w:rFonts w:ascii="Times New Roman" w:hAnsi="Times New Roman" w:cs="Times New Roman"/>
          <w:sz w:val="28"/>
          <w:szCs w:val="28"/>
        </w:rPr>
        <w:t>п.п</w:t>
      </w:r>
      <w:proofErr w:type="spellEnd"/>
      <w:r w:rsidRPr="007C32A8">
        <w:rPr>
          <w:rFonts w:ascii="Times New Roman" w:hAnsi="Times New Roman" w:cs="Times New Roman"/>
          <w:sz w:val="28"/>
          <w:szCs w:val="28"/>
        </w:rPr>
        <w:t xml:space="preserve">., занятых в сфере услуг выросла на 21 </w:t>
      </w:r>
      <w:proofErr w:type="spellStart"/>
      <w:r w:rsidRPr="007C32A8">
        <w:rPr>
          <w:rFonts w:ascii="Times New Roman" w:hAnsi="Times New Roman" w:cs="Times New Roman"/>
          <w:sz w:val="28"/>
          <w:szCs w:val="28"/>
        </w:rPr>
        <w:t>п.п</w:t>
      </w:r>
      <w:proofErr w:type="spellEnd"/>
      <w:r w:rsidRPr="007C32A8">
        <w:rPr>
          <w:rFonts w:ascii="Times New Roman" w:hAnsi="Times New Roman" w:cs="Times New Roman"/>
          <w:sz w:val="28"/>
          <w:szCs w:val="28"/>
        </w:rPr>
        <w:t>.</w:t>
      </w:r>
    </w:p>
    <w:p w14:paraId="27B1306D"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Изменения структуры занятости и соответствующие перемены в структуре производства в </w:t>
      </w:r>
      <w:proofErr w:type="gramStart"/>
      <w:r w:rsidRPr="007C32A8">
        <w:rPr>
          <w:rFonts w:ascii="Times New Roman" w:hAnsi="Times New Roman" w:cs="Times New Roman"/>
          <w:sz w:val="28"/>
          <w:szCs w:val="28"/>
        </w:rPr>
        <w:t>1980-2017</w:t>
      </w:r>
      <w:proofErr w:type="gramEnd"/>
      <w:r w:rsidRPr="007C32A8">
        <w:rPr>
          <w:rFonts w:ascii="Times New Roman" w:hAnsi="Times New Roman" w:cs="Times New Roman"/>
          <w:sz w:val="28"/>
          <w:szCs w:val="28"/>
        </w:rPr>
        <w:t xml:space="preserve"> гг. (применительно к ценовым пропорциям последнего десятилетия) являлись фактором снижения динамики суммарной по экономике производительности труда (по нашим оценкам, в среднем на -0,13 </w:t>
      </w:r>
      <w:proofErr w:type="spellStart"/>
      <w:r w:rsidRPr="007C32A8">
        <w:rPr>
          <w:rFonts w:ascii="Times New Roman" w:hAnsi="Times New Roman" w:cs="Times New Roman"/>
          <w:sz w:val="28"/>
          <w:szCs w:val="28"/>
        </w:rPr>
        <w:t>п.п</w:t>
      </w:r>
      <w:proofErr w:type="spellEnd"/>
      <w:r w:rsidRPr="007C32A8">
        <w:rPr>
          <w:rFonts w:ascii="Times New Roman" w:hAnsi="Times New Roman" w:cs="Times New Roman"/>
          <w:sz w:val="28"/>
          <w:szCs w:val="28"/>
        </w:rPr>
        <w:t>. в год), поскольку результатом этих сдвигов являлось увеличение в валовом выпуске доли отраслей с относительно низкой производительностью труда, в первую очередь, торговли и отраслей социальных услуг.</w:t>
      </w:r>
    </w:p>
    <w:p w14:paraId="539B99F7"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Сырьевая ориентация экономики означает относительно ограниченные возможности увеличения производительности труда в силу ресурсных ограничений роста производства. Сектора сферы услуг обладают несколько большим потенциалом роста производительности, но реализация этого потенциала во многом зависит от роста производительности и заработной платы в реальном секторе, доходы которого они обслуживают. Таким образом, совокупный эффект роста производительности труда связан с целым рядом структурных, инвестиционных и институциональных факторов роста экономики. </w:t>
      </w:r>
    </w:p>
    <w:p w14:paraId="136E86CE"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По нашим оценкам</w:t>
      </w:r>
      <w:r>
        <w:rPr>
          <w:rStyle w:val="ad"/>
          <w:rFonts w:ascii="Times New Roman" w:hAnsi="Times New Roman" w:cs="Times New Roman"/>
          <w:sz w:val="28"/>
          <w:szCs w:val="28"/>
        </w:rPr>
        <w:footnoteReference w:id="26"/>
      </w:r>
      <w:r w:rsidRPr="007C32A8">
        <w:rPr>
          <w:rFonts w:ascii="Times New Roman" w:hAnsi="Times New Roman" w:cs="Times New Roman"/>
          <w:sz w:val="28"/>
          <w:szCs w:val="28"/>
        </w:rPr>
        <w:t xml:space="preserve">, изменение структуры производства за счет повышения доли машиностроительных и нефтехимических производств и снижения доли сельского хозяйства, оптовой и розничной торговли может добавить к росту производительности труда до 0.5 </w:t>
      </w:r>
      <w:proofErr w:type="spellStart"/>
      <w:r w:rsidRPr="007C32A8">
        <w:rPr>
          <w:rFonts w:ascii="Times New Roman" w:hAnsi="Times New Roman" w:cs="Times New Roman"/>
          <w:sz w:val="28"/>
          <w:szCs w:val="28"/>
        </w:rPr>
        <w:t>п.п</w:t>
      </w:r>
      <w:proofErr w:type="spellEnd"/>
      <w:r w:rsidRPr="007C32A8">
        <w:rPr>
          <w:rFonts w:ascii="Times New Roman" w:hAnsi="Times New Roman" w:cs="Times New Roman"/>
          <w:sz w:val="28"/>
          <w:szCs w:val="28"/>
        </w:rPr>
        <w:t>. в перспективе до 2035 г.</w:t>
      </w:r>
    </w:p>
    <w:p w14:paraId="123639CC"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При оценке влияния изменений в структуре экономики на производительность труда важно учитывать относительные цены. Структура относительных цен в России и в развитых экономиках мира существенно отличается (в силу значительных несоответствий курса национальной валюты и паритета покупательной способности), что обуславливает недооценку роли выпуска и труда во многих секторах сферы услуг (образование, здравоохранение) – см. Табл. 5.2, а также приводит к отраслевым диспропорциям в уровне производительности труда. </w:t>
      </w:r>
    </w:p>
    <w:p w14:paraId="4553F9FC"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При текущей структуре относительных цен наибольший разрыв в уровне производительности соответствует секторам с наибольшим числом избыточно занятого населения, в первую очередь, это некоторые сектора сферы услуг.</w:t>
      </w:r>
    </w:p>
    <w:p w14:paraId="41AA1F33" w14:textId="1BBC13E9"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В соответствии с долговременными международными тенденциями рост числа занятых в сфере услуг, в том числе за счет перераспределения занятых из сельского хозяйства (для России это 15,7% занятых), может продолжиться. Однако уже сейчас избыточным с точки зрения уровня занятости – в сравнении с развитыми странами – можно признать сектор розничной торговли (где трудятся 12,7% занятых) и образования (9,7%), и явно недостаточным – здравоохранения (7,2% занятых для РФ против более чем </w:t>
      </w:r>
      <w:proofErr w:type="gramStart"/>
      <w:r w:rsidRPr="007C32A8">
        <w:rPr>
          <w:rFonts w:ascii="Times New Roman" w:hAnsi="Times New Roman" w:cs="Times New Roman"/>
          <w:sz w:val="28"/>
          <w:szCs w:val="28"/>
        </w:rPr>
        <w:t>12-13</w:t>
      </w:r>
      <w:proofErr w:type="gramEnd"/>
      <w:r w:rsidRPr="007C32A8">
        <w:rPr>
          <w:rFonts w:ascii="Times New Roman" w:hAnsi="Times New Roman" w:cs="Times New Roman"/>
          <w:sz w:val="28"/>
          <w:szCs w:val="28"/>
        </w:rPr>
        <w:t>% в развитых странах) (табл. 5.</w:t>
      </w:r>
      <w:r w:rsidR="00351D97">
        <w:rPr>
          <w:rFonts w:ascii="Times New Roman" w:hAnsi="Times New Roman" w:cs="Times New Roman"/>
          <w:sz w:val="28"/>
          <w:szCs w:val="28"/>
        </w:rPr>
        <w:t>4</w:t>
      </w:r>
      <w:r w:rsidRPr="007C32A8">
        <w:rPr>
          <w:rFonts w:ascii="Times New Roman" w:hAnsi="Times New Roman" w:cs="Times New Roman"/>
          <w:sz w:val="28"/>
          <w:szCs w:val="28"/>
        </w:rPr>
        <w:t>)</w:t>
      </w:r>
    </w:p>
    <w:p w14:paraId="367BBB86" w14:textId="5AE392B0" w:rsidR="007C32A8" w:rsidRPr="007C32A8" w:rsidRDefault="007C32A8" w:rsidP="007C32A8">
      <w:pPr>
        <w:ind w:firstLine="567"/>
        <w:jc w:val="center"/>
        <w:rPr>
          <w:rFonts w:ascii="Times New Roman" w:hAnsi="Times New Roman" w:cs="Times New Roman"/>
          <w:sz w:val="28"/>
          <w:szCs w:val="28"/>
        </w:rPr>
      </w:pPr>
      <w:r w:rsidRPr="007C32A8">
        <w:rPr>
          <w:rFonts w:ascii="Times New Roman" w:hAnsi="Times New Roman" w:cs="Times New Roman"/>
          <w:sz w:val="28"/>
          <w:szCs w:val="28"/>
        </w:rPr>
        <w:t>Таблица 5.</w:t>
      </w:r>
      <w:r w:rsidR="00351D97">
        <w:rPr>
          <w:rFonts w:ascii="Times New Roman" w:hAnsi="Times New Roman" w:cs="Times New Roman"/>
          <w:sz w:val="28"/>
          <w:szCs w:val="28"/>
        </w:rPr>
        <w:t>4</w:t>
      </w:r>
      <w:r w:rsidRPr="007C32A8">
        <w:rPr>
          <w:rFonts w:ascii="Times New Roman" w:hAnsi="Times New Roman" w:cs="Times New Roman"/>
          <w:sz w:val="28"/>
          <w:szCs w:val="28"/>
        </w:rPr>
        <w:t xml:space="preserve"> – Отраслевая структура занятого населения по странам, 2014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1132"/>
        <w:gridCol w:w="978"/>
        <w:gridCol w:w="952"/>
        <w:gridCol w:w="935"/>
      </w:tblGrid>
      <w:tr w:rsidR="007C32A8" w14:paraId="45159229" w14:textId="77777777" w:rsidTr="007C32A8">
        <w:tc>
          <w:tcPr>
            <w:tcW w:w="5867" w:type="dxa"/>
            <w:tcBorders>
              <w:top w:val="single" w:sz="4" w:space="0" w:color="auto"/>
              <w:left w:val="single" w:sz="4" w:space="0" w:color="auto"/>
              <w:bottom w:val="single" w:sz="4" w:space="0" w:color="auto"/>
              <w:right w:val="single" w:sz="4" w:space="0" w:color="auto"/>
            </w:tcBorders>
            <w:vAlign w:val="bottom"/>
          </w:tcPr>
          <w:p w14:paraId="43D5CEE8" w14:textId="77777777" w:rsidR="007C32A8" w:rsidRDefault="007C32A8">
            <w:pPr>
              <w:spacing w:line="256" w:lineRule="auto"/>
              <w:jc w:val="both"/>
              <w:rPr>
                <w:rFonts w:ascii="Times New Roman" w:hAnsi="Times New Roman" w:cs="Times New Roman"/>
              </w:rPr>
            </w:pPr>
          </w:p>
        </w:tc>
        <w:tc>
          <w:tcPr>
            <w:tcW w:w="1133" w:type="dxa"/>
            <w:tcBorders>
              <w:top w:val="single" w:sz="4" w:space="0" w:color="auto"/>
              <w:left w:val="single" w:sz="4" w:space="0" w:color="auto"/>
              <w:bottom w:val="single" w:sz="4" w:space="0" w:color="auto"/>
              <w:right w:val="single" w:sz="4" w:space="0" w:color="auto"/>
            </w:tcBorders>
            <w:vAlign w:val="bottom"/>
            <w:hideMark/>
          </w:tcPr>
          <w:p w14:paraId="7C6F8234" w14:textId="77777777" w:rsidR="007C32A8" w:rsidRDefault="007C32A8">
            <w:pPr>
              <w:spacing w:line="256" w:lineRule="auto"/>
              <w:jc w:val="both"/>
              <w:rPr>
                <w:rFonts w:ascii="Times New Roman" w:hAnsi="Times New Roman" w:cs="Times New Roman"/>
              </w:rPr>
            </w:pPr>
            <w:r>
              <w:rPr>
                <w:rFonts w:ascii="Times New Roman" w:hAnsi="Times New Roman" w:cs="Times New Roman"/>
              </w:rPr>
              <w:t>Германия</w:t>
            </w:r>
          </w:p>
        </w:tc>
        <w:tc>
          <w:tcPr>
            <w:tcW w:w="986" w:type="dxa"/>
            <w:tcBorders>
              <w:top w:val="single" w:sz="4" w:space="0" w:color="auto"/>
              <w:left w:val="single" w:sz="4" w:space="0" w:color="auto"/>
              <w:bottom w:val="single" w:sz="4" w:space="0" w:color="auto"/>
              <w:right w:val="single" w:sz="4" w:space="0" w:color="auto"/>
            </w:tcBorders>
            <w:vAlign w:val="bottom"/>
            <w:hideMark/>
          </w:tcPr>
          <w:p w14:paraId="5CE3029E" w14:textId="77777777" w:rsidR="007C32A8" w:rsidRDefault="007C32A8">
            <w:pPr>
              <w:spacing w:line="256" w:lineRule="auto"/>
              <w:jc w:val="both"/>
              <w:rPr>
                <w:rFonts w:ascii="Times New Roman" w:hAnsi="Times New Roman" w:cs="Times New Roman"/>
              </w:rPr>
            </w:pPr>
            <w:r>
              <w:rPr>
                <w:rFonts w:ascii="Times New Roman" w:hAnsi="Times New Roman" w:cs="Times New Roman"/>
              </w:rPr>
              <w:t>Япония</w:t>
            </w:r>
          </w:p>
        </w:tc>
        <w:tc>
          <w:tcPr>
            <w:tcW w:w="973" w:type="dxa"/>
            <w:tcBorders>
              <w:top w:val="single" w:sz="4" w:space="0" w:color="auto"/>
              <w:left w:val="single" w:sz="4" w:space="0" w:color="auto"/>
              <w:bottom w:val="single" w:sz="4" w:space="0" w:color="auto"/>
              <w:right w:val="single" w:sz="4" w:space="0" w:color="auto"/>
            </w:tcBorders>
            <w:vAlign w:val="bottom"/>
            <w:hideMark/>
          </w:tcPr>
          <w:p w14:paraId="0BE85FD0" w14:textId="77777777" w:rsidR="007C32A8" w:rsidRDefault="007C32A8">
            <w:pPr>
              <w:spacing w:line="256" w:lineRule="auto"/>
              <w:jc w:val="both"/>
              <w:rPr>
                <w:rFonts w:ascii="Times New Roman" w:hAnsi="Times New Roman" w:cs="Times New Roman"/>
              </w:rPr>
            </w:pPr>
            <w:r>
              <w:rPr>
                <w:rFonts w:ascii="Times New Roman" w:hAnsi="Times New Roman" w:cs="Times New Roman"/>
              </w:rPr>
              <w:t>США</w:t>
            </w:r>
          </w:p>
        </w:tc>
        <w:tc>
          <w:tcPr>
            <w:tcW w:w="946" w:type="dxa"/>
            <w:tcBorders>
              <w:top w:val="single" w:sz="4" w:space="0" w:color="auto"/>
              <w:left w:val="single" w:sz="4" w:space="0" w:color="auto"/>
              <w:bottom w:val="single" w:sz="4" w:space="0" w:color="auto"/>
              <w:right w:val="single" w:sz="4" w:space="0" w:color="auto"/>
            </w:tcBorders>
            <w:vAlign w:val="bottom"/>
            <w:hideMark/>
          </w:tcPr>
          <w:p w14:paraId="6CB05E11" w14:textId="77777777" w:rsidR="007C32A8" w:rsidRDefault="007C32A8">
            <w:pPr>
              <w:spacing w:line="256" w:lineRule="auto"/>
              <w:jc w:val="both"/>
              <w:rPr>
                <w:rFonts w:ascii="Times New Roman" w:hAnsi="Times New Roman" w:cs="Times New Roman"/>
              </w:rPr>
            </w:pPr>
            <w:r>
              <w:rPr>
                <w:rFonts w:ascii="Times New Roman" w:hAnsi="Times New Roman" w:cs="Times New Roman"/>
              </w:rPr>
              <w:t>Россия</w:t>
            </w:r>
          </w:p>
        </w:tc>
      </w:tr>
      <w:tr w:rsidR="007C32A8" w14:paraId="0FD0C436"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6794FC98"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ВСЕГО, в том числе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9AB3AEB"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100%</w:t>
            </w:r>
          </w:p>
        </w:tc>
        <w:tc>
          <w:tcPr>
            <w:tcW w:w="986" w:type="dxa"/>
            <w:tcBorders>
              <w:top w:val="single" w:sz="4" w:space="0" w:color="auto"/>
              <w:left w:val="single" w:sz="4" w:space="0" w:color="auto"/>
              <w:bottom w:val="single" w:sz="4" w:space="0" w:color="auto"/>
              <w:right w:val="single" w:sz="4" w:space="0" w:color="auto"/>
            </w:tcBorders>
            <w:hideMark/>
          </w:tcPr>
          <w:p w14:paraId="19003233" w14:textId="77777777" w:rsidR="007C32A8" w:rsidRDefault="007C32A8">
            <w:pPr>
              <w:spacing w:line="256" w:lineRule="auto"/>
              <w:jc w:val="both"/>
              <w:rPr>
                <w:rFonts w:ascii="Times New Roman" w:hAnsi="Times New Roman" w:cs="Times New Roman"/>
              </w:rPr>
            </w:pPr>
            <w:r>
              <w:rPr>
                <w:rFonts w:ascii="Times New Roman" w:hAnsi="Times New Roman" w:cs="Times New Roman"/>
                <w:b/>
                <w:bCs/>
              </w:rPr>
              <w:t>100%</w:t>
            </w:r>
          </w:p>
        </w:tc>
        <w:tc>
          <w:tcPr>
            <w:tcW w:w="973" w:type="dxa"/>
            <w:tcBorders>
              <w:top w:val="single" w:sz="4" w:space="0" w:color="auto"/>
              <w:left w:val="single" w:sz="4" w:space="0" w:color="auto"/>
              <w:bottom w:val="single" w:sz="4" w:space="0" w:color="auto"/>
              <w:right w:val="single" w:sz="4" w:space="0" w:color="auto"/>
            </w:tcBorders>
            <w:hideMark/>
          </w:tcPr>
          <w:p w14:paraId="3792866D" w14:textId="77777777" w:rsidR="007C32A8" w:rsidRDefault="007C32A8">
            <w:pPr>
              <w:spacing w:line="256" w:lineRule="auto"/>
              <w:jc w:val="both"/>
              <w:rPr>
                <w:rFonts w:ascii="Times New Roman" w:hAnsi="Times New Roman" w:cs="Times New Roman"/>
              </w:rPr>
            </w:pPr>
            <w:r>
              <w:rPr>
                <w:rFonts w:ascii="Times New Roman" w:hAnsi="Times New Roman" w:cs="Times New Roman"/>
                <w:b/>
                <w:bCs/>
              </w:rPr>
              <w:t>100%</w:t>
            </w:r>
          </w:p>
        </w:tc>
        <w:tc>
          <w:tcPr>
            <w:tcW w:w="946" w:type="dxa"/>
            <w:tcBorders>
              <w:top w:val="single" w:sz="4" w:space="0" w:color="auto"/>
              <w:left w:val="single" w:sz="4" w:space="0" w:color="auto"/>
              <w:bottom w:val="single" w:sz="4" w:space="0" w:color="auto"/>
              <w:right w:val="single" w:sz="4" w:space="0" w:color="auto"/>
            </w:tcBorders>
            <w:hideMark/>
          </w:tcPr>
          <w:p w14:paraId="0B3BCA69" w14:textId="77777777" w:rsidR="007C32A8" w:rsidRDefault="007C32A8">
            <w:pPr>
              <w:spacing w:line="256" w:lineRule="auto"/>
              <w:jc w:val="both"/>
              <w:rPr>
                <w:rFonts w:ascii="Times New Roman" w:hAnsi="Times New Roman" w:cs="Times New Roman"/>
              </w:rPr>
            </w:pPr>
            <w:r>
              <w:rPr>
                <w:rFonts w:ascii="Times New Roman" w:hAnsi="Times New Roman" w:cs="Times New Roman"/>
                <w:b/>
                <w:bCs/>
              </w:rPr>
              <w:t>100%</w:t>
            </w:r>
          </w:p>
        </w:tc>
      </w:tr>
      <w:tr w:rsidR="007C32A8" w14:paraId="6DA1551F"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57040995"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Сфера материального производства, в том числе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0F07B49"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26,3%</w:t>
            </w:r>
          </w:p>
        </w:tc>
        <w:tc>
          <w:tcPr>
            <w:tcW w:w="986" w:type="dxa"/>
            <w:tcBorders>
              <w:top w:val="single" w:sz="4" w:space="0" w:color="auto"/>
              <w:left w:val="single" w:sz="4" w:space="0" w:color="auto"/>
              <w:bottom w:val="single" w:sz="4" w:space="0" w:color="auto"/>
              <w:right w:val="single" w:sz="4" w:space="0" w:color="auto"/>
            </w:tcBorders>
            <w:vAlign w:val="bottom"/>
            <w:hideMark/>
          </w:tcPr>
          <w:p w14:paraId="34B67769"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25,8%</w:t>
            </w:r>
          </w:p>
        </w:tc>
        <w:tc>
          <w:tcPr>
            <w:tcW w:w="973" w:type="dxa"/>
            <w:tcBorders>
              <w:top w:val="single" w:sz="4" w:space="0" w:color="auto"/>
              <w:left w:val="single" w:sz="4" w:space="0" w:color="auto"/>
              <w:bottom w:val="single" w:sz="4" w:space="0" w:color="auto"/>
              <w:right w:val="single" w:sz="4" w:space="0" w:color="auto"/>
            </w:tcBorders>
            <w:vAlign w:val="bottom"/>
            <w:hideMark/>
          </w:tcPr>
          <w:p w14:paraId="570FD375"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15,1%</w:t>
            </w:r>
          </w:p>
        </w:tc>
        <w:tc>
          <w:tcPr>
            <w:tcW w:w="946" w:type="dxa"/>
            <w:tcBorders>
              <w:top w:val="single" w:sz="4" w:space="0" w:color="auto"/>
              <w:left w:val="single" w:sz="4" w:space="0" w:color="auto"/>
              <w:bottom w:val="single" w:sz="4" w:space="0" w:color="auto"/>
              <w:right w:val="single" w:sz="4" w:space="0" w:color="auto"/>
            </w:tcBorders>
            <w:vAlign w:val="bottom"/>
            <w:hideMark/>
          </w:tcPr>
          <w:p w14:paraId="153000F4"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39,9%</w:t>
            </w:r>
          </w:p>
        </w:tc>
      </w:tr>
      <w:tr w:rsidR="007C32A8" w14:paraId="5D8B297A"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614B8736" w14:textId="77777777" w:rsidR="007C32A8" w:rsidRDefault="007C32A8">
            <w:pPr>
              <w:spacing w:line="256" w:lineRule="auto"/>
              <w:jc w:val="both"/>
              <w:rPr>
                <w:rFonts w:ascii="Times New Roman" w:hAnsi="Times New Roman" w:cs="Times New Roman"/>
              </w:rPr>
            </w:pPr>
            <w:r>
              <w:rPr>
                <w:rFonts w:ascii="Times New Roman" w:hAnsi="Times New Roman" w:cs="Times New Roman"/>
              </w:rPr>
              <w:t>Сельское и лесное хозяйство, охота и рыболовство</w:t>
            </w:r>
          </w:p>
        </w:tc>
        <w:tc>
          <w:tcPr>
            <w:tcW w:w="1133" w:type="dxa"/>
            <w:tcBorders>
              <w:top w:val="single" w:sz="4" w:space="0" w:color="auto"/>
              <w:left w:val="single" w:sz="4" w:space="0" w:color="auto"/>
              <w:bottom w:val="single" w:sz="4" w:space="0" w:color="auto"/>
              <w:right w:val="single" w:sz="4" w:space="0" w:color="auto"/>
            </w:tcBorders>
            <w:vAlign w:val="bottom"/>
            <w:hideMark/>
          </w:tcPr>
          <w:p w14:paraId="298F13B0" w14:textId="77777777" w:rsidR="007C32A8" w:rsidRDefault="007C32A8">
            <w:pPr>
              <w:spacing w:line="256" w:lineRule="auto"/>
              <w:jc w:val="both"/>
              <w:rPr>
                <w:rFonts w:ascii="Times New Roman" w:hAnsi="Times New Roman" w:cs="Times New Roman"/>
              </w:rPr>
            </w:pPr>
            <w:r>
              <w:rPr>
                <w:rFonts w:ascii="Times New Roman" w:hAnsi="Times New Roman" w:cs="Times New Roman"/>
              </w:rPr>
              <w:t>0,9%</w:t>
            </w:r>
          </w:p>
        </w:tc>
        <w:tc>
          <w:tcPr>
            <w:tcW w:w="986" w:type="dxa"/>
            <w:tcBorders>
              <w:top w:val="single" w:sz="4" w:space="0" w:color="auto"/>
              <w:left w:val="single" w:sz="4" w:space="0" w:color="auto"/>
              <w:bottom w:val="single" w:sz="4" w:space="0" w:color="auto"/>
              <w:right w:val="single" w:sz="4" w:space="0" w:color="auto"/>
            </w:tcBorders>
            <w:vAlign w:val="bottom"/>
            <w:hideMark/>
          </w:tcPr>
          <w:p w14:paraId="70F2FE1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1,6%</w:t>
            </w:r>
          </w:p>
        </w:tc>
        <w:tc>
          <w:tcPr>
            <w:tcW w:w="973" w:type="dxa"/>
            <w:tcBorders>
              <w:top w:val="single" w:sz="4" w:space="0" w:color="auto"/>
              <w:left w:val="single" w:sz="4" w:space="0" w:color="auto"/>
              <w:bottom w:val="single" w:sz="4" w:space="0" w:color="auto"/>
              <w:right w:val="single" w:sz="4" w:space="0" w:color="auto"/>
            </w:tcBorders>
            <w:vAlign w:val="bottom"/>
            <w:hideMark/>
          </w:tcPr>
          <w:p w14:paraId="350A5FD8" w14:textId="77777777" w:rsidR="007C32A8" w:rsidRDefault="007C32A8">
            <w:pPr>
              <w:spacing w:line="256" w:lineRule="auto"/>
              <w:jc w:val="both"/>
              <w:rPr>
                <w:rFonts w:ascii="Times New Roman" w:hAnsi="Times New Roman" w:cs="Times New Roman"/>
              </w:rPr>
            </w:pPr>
            <w:r>
              <w:rPr>
                <w:rFonts w:ascii="Times New Roman" w:hAnsi="Times New Roman" w:cs="Times New Roman"/>
              </w:rPr>
              <w:t>1,0%</w:t>
            </w:r>
          </w:p>
        </w:tc>
        <w:tc>
          <w:tcPr>
            <w:tcW w:w="946" w:type="dxa"/>
            <w:tcBorders>
              <w:top w:val="single" w:sz="4" w:space="0" w:color="auto"/>
              <w:left w:val="single" w:sz="4" w:space="0" w:color="auto"/>
              <w:bottom w:val="single" w:sz="4" w:space="0" w:color="auto"/>
              <w:right w:val="single" w:sz="4" w:space="0" w:color="auto"/>
            </w:tcBorders>
            <w:vAlign w:val="bottom"/>
            <w:hideMark/>
          </w:tcPr>
          <w:p w14:paraId="6A0BB0D1"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15,7%</w:t>
            </w:r>
          </w:p>
        </w:tc>
      </w:tr>
      <w:tr w:rsidR="007C32A8" w14:paraId="6DA15AB9"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3EC30835" w14:textId="77777777" w:rsidR="007C32A8" w:rsidRDefault="007C32A8">
            <w:pPr>
              <w:spacing w:line="256" w:lineRule="auto"/>
              <w:jc w:val="both"/>
              <w:rPr>
                <w:rFonts w:ascii="Times New Roman" w:hAnsi="Times New Roman" w:cs="Times New Roman"/>
              </w:rPr>
            </w:pPr>
            <w:r>
              <w:rPr>
                <w:rFonts w:ascii="Times New Roman" w:hAnsi="Times New Roman" w:cs="Times New Roman"/>
              </w:rPr>
              <w:t>Добывающая промышленность</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B1EBFC1" w14:textId="77777777" w:rsidR="007C32A8" w:rsidRDefault="007C32A8">
            <w:pPr>
              <w:spacing w:line="256" w:lineRule="auto"/>
              <w:jc w:val="both"/>
              <w:rPr>
                <w:rFonts w:ascii="Times New Roman" w:hAnsi="Times New Roman" w:cs="Times New Roman"/>
              </w:rPr>
            </w:pPr>
            <w:r>
              <w:rPr>
                <w:rFonts w:ascii="Times New Roman" w:hAnsi="Times New Roman" w:cs="Times New Roman"/>
              </w:rPr>
              <w:t>0,2%</w:t>
            </w:r>
          </w:p>
        </w:tc>
        <w:tc>
          <w:tcPr>
            <w:tcW w:w="986" w:type="dxa"/>
            <w:tcBorders>
              <w:top w:val="single" w:sz="4" w:space="0" w:color="auto"/>
              <w:left w:val="single" w:sz="4" w:space="0" w:color="auto"/>
              <w:bottom w:val="single" w:sz="4" w:space="0" w:color="auto"/>
              <w:right w:val="single" w:sz="4" w:space="0" w:color="auto"/>
            </w:tcBorders>
            <w:vAlign w:val="bottom"/>
            <w:hideMark/>
          </w:tcPr>
          <w:p w14:paraId="45AF3B89" w14:textId="77777777" w:rsidR="007C32A8" w:rsidRDefault="007C32A8">
            <w:pPr>
              <w:spacing w:line="256" w:lineRule="auto"/>
              <w:jc w:val="both"/>
              <w:rPr>
                <w:rFonts w:ascii="Times New Roman" w:hAnsi="Times New Roman" w:cs="Times New Roman"/>
              </w:rPr>
            </w:pPr>
            <w:r>
              <w:rPr>
                <w:rFonts w:ascii="Times New Roman" w:hAnsi="Times New Roman" w:cs="Times New Roman"/>
              </w:rPr>
              <w:t>0,1%</w:t>
            </w:r>
          </w:p>
        </w:tc>
        <w:tc>
          <w:tcPr>
            <w:tcW w:w="973" w:type="dxa"/>
            <w:tcBorders>
              <w:top w:val="single" w:sz="4" w:space="0" w:color="auto"/>
              <w:left w:val="single" w:sz="4" w:space="0" w:color="auto"/>
              <w:bottom w:val="single" w:sz="4" w:space="0" w:color="auto"/>
              <w:right w:val="single" w:sz="4" w:space="0" w:color="auto"/>
            </w:tcBorders>
            <w:vAlign w:val="bottom"/>
            <w:hideMark/>
          </w:tcPr>
          <w:p w14:paraId="6E8BCA3D" w14:textId="77777777" w:rsidR="007C32A8" w:rsidRDefault="007C32A8">
            <w:pPr>
              <w:spacing w:line="256" w:lineRule="auto"/>
              <w:jc w:val="both"/>
              <w:rPr>
                <w:rFonts w:ascii="Times New Roman" w:hAnsi="Times New Roman" w:cs="Times New Roman"/>
              </w:rPr>
            </w:pPr>
            <w:r>
              <w:rPr>
                <w:rFonts w:ascii="Times New Roman" w:hAnsi="Times New Roman" w:cs="Times New Roman"/>
              </w:rPr>
              <w:t>0,5%</w:t>
            </w:r>
          </w:p>
        </w:tc>
        <w:tc>
          <w:tcPr>
            <w:tcW w:w="946" w:type="dxa"/>
            <w:tcBorders>
              <w:top w:val="single" w:sz="4" w:space="0" w:color="auto"/>
              <w:left w:val="single" w:sz="4" w:space="0" w:color="auto"/>
              <w:bottom w:val="single" w:sz="4" w:space="0" w:color="auto"/>
              <w:right w:val="single" w:sz="4" w:space="0" w:color="auto"/>
            </w:tcBorders>
            <w:vAlign w:val="bottom"/>
            <w:hideMark/>
          </w:tcPr>
          <w:p w14:paraId="03DA6D57" w14:textId="77777777" w:rsidR="007C32A8" w:rsidRDefault="007C32A8">
            <w:pPr>
              <w:spacing w:line="256" w:lineRule="auto"/>
              <w:jc w:val="both"/>
              <w:rPr>
                <w:rFonts w:ascii="Times New Roman" w:hAnsi="Times New Roman" w:cs="Times New Roman"/>
              </w:rPr>
            </w:pPr>
            <w:r>
              <w:rPr>
                <w:rFonts w:ascii="Times New Roman" w:hAnsi="Times New Roman" w:cs="Times New Roman"/>
              </w:rPr>
              <w:t>1,7%</w:t>
            </w:r>
          </w:p>
        </w:tc>
      </w:tr>
      <w:tr w:rsidR="007C32A8" w14:paraId="3A7509E0"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62226D48" w14:textId="77777777" w:rsidR="007C32A8" w:rsidRDefault="007C32A8">
            <w:pPr>
              <w:spacing w:line="256" w:lineRule="auto"/>
              <w:jc w:val="both"/>
              <w:rPr>
                <w:rFonts w:ascii="Times New Roman" w:hAnsi="Times New Roman" w:cs="Times New Roman"/>
              </w:rPr>
            </w:pPr>
            <w:r>
              <w:rPr>
                <w:rFonts w:ascii="Times New Roman" w:hAnsi="Times New Roman" w:cs="Times New Roman"/>
              </w:rPr>
              <w:t>Обрабатывающая промышленность, в том числе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DC7499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18,9%</w:t>
            </w:r>
          </w:p>
        </w:tc>
        <w:tc>
          <w:tcPr>
            <w:tcW w:w="986" w:type="dxa"/>
            <w:tcBorders>
              <w:top w:val="single" w:sz="4" w:space="0" w:color="auto"/>
              <w:left w:val="single" w:sz="4" w:space="0" w:color="auto"/>
              <w:bottom w:val="single" w:sz="4" w:space="0" w:color="auto"/>
              <w:right w:val="single" w:sz="4" w:space="0" w:color="auto"/>
            </w:tcBorders>
            <w:vAlign w:val="bottom"/>
            <w:hideMark/>
          </w:tcPr>
          <w:p w14:paraId="415EBE9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16,9%</w:t>
            </w:r>
          </w:p>
        </w:tc>
        <w:tc>
          <w:tcPr>
            <w:tcW w:w="973" w:type="dxa"/>
            <w:tcBorders>
              <w:top w:val="single" w:sz="4" w:space="0" w:color="auto"/>
              <w:left w:val="single" w:sz="4" w:space="0" w:color="auto"/>
              <w:bottom w:val="single" w:sz="4" w:space="0" w:color="auto"/>
              <w:right w:val="single" w:sz="4" w:space="0" w:color="auto"/>
            </w:tcBorders>
            <w:vAlign w:val="bottom"/>
            <w:hideMark/>
          </w:tcPr>
          <w:p w14:paraId="6AC231B8" w14:textId="77777777" w:rsidR="007C32A8" w:rsidRDefault="007C32A8">
            <w:pPr>
              <w:spacing w:line="256" w:lineRule="auto"/>
              <w:jc w:val="both"/>
              <w:rPr>
                <w:rFonts w:ascii="Times New Roman" w:hAnsi="Times New Roman" w:cs="Times New Roman"/>
              </w:rPr>
            </w:pPr>
            <w:r>
              <w:rPr>
                <w:rFonts w:ascii="Times New Roman" w:hAnsi="Times New Roman" w:cs="Times New Roman"/>
              </w:rPr>
              <w:t>8,7%</w:t>
            </w:r>
          </w:p>
        </w:tc>
        <w:tc>
          <w:tcPr>
            <w:tcW w:w="946" w:type="dxa"/>
            <w:tcBorders>
              <w:top w:val="single" w:sz="4" w:space="0" w:color="auto"/>
              <w:left w:val="single" w:sz="4" w:space="0" w:color="auto"/>
              <w:bottom w:val="single" w:sz="4" w:space="0" w:color="auto"/>
              <w:right w:val="single" w:sz="4" w:space="0" w:color="auto"/>
            </w:tcBorders>
            <w:vAlign w:val="bottom"/>
            <w:hideMark/>
          </w:tcPr>
          <w:p w14:paraId="36FA46A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13,5%</w:t>
            </w:r>
          </w:p>
        </w:tc>
      </w:tr>
      <w:tr w:rsidR="007C32A8" w14:paraId="2C5BC576"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3708995D" w14:textId="77777777" w:rsidR="007C32A8" w:rsidRDefault="007C32A8">
            <w:pPr>
              <w:spacing w:line="256" w:lineRule="auto"/>
              <w:jc w:val="both"/>
              <w:rPr>
                <w:rFonts w:ascii="Times New Roman" w:hAnsi="Times New Roman" w:cs="Times New Roman"/>
              </w:rPr>
            </w:pPr>
            <w:r>
              <w:rPr>
                <w:rFonts w:ascii="Times New Roman" w:hAnsi="Times New Roman" w:cs="Times New Roman"/>
              </w:rPr>
              <w:t>Производство машин и оборудования</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FF04718" w14:textId="77777777" w:rsidR="007C32A8" w:rsidRDefault="007C32A8">
            <w:pPr>
              <w:spacing w:line="256" w:lineRule="auto"/>
              <w:jc w:val="both"/>
              <w:rPr>
                <w:rFonts w:ascii="Times New Roman" w:hAnsi="Times New Roman" w:cs="Times New Roman"/>
              </w:rPr>
            </w:pPr>
            <w:r>
              <w:rPr>
                <w:rFonts w:ascii="Times New Roman" w:hAnsi="Times New Roman" w:cs="Times New Roman"/>
              </w:rPr>
              <w:t>2,9%</w:t>
            </w:r>
          </w:p>
        </w:tc>
        <w:tc>
          <w:tcPr>
            <w:tcW w:w="986" w:type="dxa"/>
            <w:tcBorders>
              <w:top w:val="single" w:sz="4" w:space="0" w:color="auto"/>
              <w:left w:val="single" w:sz="4" w:space="0" w:color="auto"/>
              <w:bottom w:val="single" w:sz="4" w:space="0" w:color="auto"/>
              <w:right w:val="single" w:sz="4" w:space="0" w:color="auto"/>
            </w:tcBorders>
            <w:vAlign w:val="bottom"/>
            <w:hideMark/>
          </w:tcPr>
          <w:p w14:paraId="1FE45A68" w14:textId="77777777" w:rsidR="007C32A8" w:rsidRDefault="007C32A8">
            <w:pPr>
              <w:spacing w:line="256" w:lineRule="auto"/>
              <w:jc w:val="both"/>
              <w:rPr>
                <w:rFonts w:ascii="Times New Roman" w:hAnsi="Times New Roman" w:cs="Times New Roman"/>
              </w:rPr>
            </w:pPr>
            <w:r>
              <w:rPr>
                <w:rFonts w:ascii="Times New Roman" w:hAnsi="Times New Roman" w:cs="Times New Roman"/>
              </w:rPr>
              <w:t>1,6%</w:t>
            </w:r>
          </w:p>
        </w:tc>
        <w:tc>
          <w:tcPr>
            <w:tcW w:w="973" w:type="dxa"/>
            <w:tcBorders>
              <w:top w:val="single" w:sz="4" w:space="0" w:color="auto"/>
              <w:left w:val="single" w:sz="4" w:space="0" w:color="auto"/>
              <w:bottom w:val="single" w:sz="4" w:space="0" w:color="auto"/>
              <w:right w:val="single" w:sz="4" w:space="0" w:color="auto"/>
            </w:tcBorders>
            <w:vAlign w:val="bottom"/>
            <w:hideMark/>
          </w:tcPr>
          <w:p w14:paraId="166D16D5" w14:textId="77777777" w:rsidR="007C32A8" w:rsidRDefault="007C32A8">
            <w:pPr>
              <w:spacing w:line="256" w:lineRule="auto"/>
              <w:jc w:val="both"/>
              <w:rPr>
                <w:rFonts w:ascii="Times New Roman" w:hAnsi="Times New Roman" w:cs="Times New Roman"/>
              </w:rPr>
            </w:pPr>
            <w:r>
              <w:rPr>
                <w:rFonts w:ascii="Times New Roman" w:hAnsi="Times New Roman" w:cs="Times New Roman"/>
              </w:rPr>
              <w:t>0,8%</w:t>
            </w:r>
          </w:p>
        </w:tc>
        <w:tc>
          <w:tcPr>
            <w:tcW w:w="946" w:type="dxa"/>
            <w:tcBorders>
              <w:top w:val="single" w:sz="4" w:space="0" w:color="auto"/>
              <w:left w:val="single" w:sz="4" w:space="0" w:color="auto"/>
              <w:bottom w:val="single" w:sz="4" w:space="0" w:color="auto"/>
              <w:right w:val="single" w:sz="4" w:space="0" w:color="auto"/>
            </w:tcBorders>
            <w:vAlign w:val="bottom"/>
            <w:hideMark/>
          </w:tcPr>
          <w:p w14:paraId="7211B50E" w14:textId="77777777" w:rsidR="007C32A8" w:rsidRDefault="007C32A8">
            <w:pPr>
              <w:spacing w:line="256" w:lineRule="auto"/>
              <w:jc w:val="both"/>
              <w:rPr>
                <w:rFonts w:ascii="Times New Roman" w:hAnsi="Times New Roman" w:cs="Times New Roman"/>
              </w:rPr>
            </w:pPr>
            <w:r>
              <w:rPr>
                <w:rFonts w:ascii="Times New Roman" w:hAnsi="Times New Roman" w:cs="Times New Roman"/>
              </w:rPr>
              <w:t>2,2%</w:t>
            </w:r>
          </w:p>
        </w:tc>
      </w:tr>
      <w:tr w:rsidR="007C32A8" w14:paraId="22771184"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57B2FE95" w14:textId="77777777" w:rsidR="007C32A8" w:rsidRDefault="007C32A8">
            <w:pPr>
              <w:spacing w:line="256" w:lineRule="auto"/>
              <w:jc w:val="both"/>
              <w:rPr>
                <w:rFonts w:ascii="Times New Roman" w:hAnsi="Times New Roman" w:cs="Times New Roman"/>
              </w:rPr>
            </w:pPr>
            <w:r>
              <w:rPr>
                <w:rFonts w:ascii="Times New Roman" w:hAnsi="Times New Roman" w:cs="Times New Roman"/>
              </w:rPr>
              <w:t xml:space="preserve">Обеспечение электрической энергией, газом, паром; кондиционирование воздуха, водоснабжение; водоотведение, организация сбора и утилизации отходов, деятельность по ликвидации загрязнений </w:t>
            </w:r>
          </w:p>
        </w:tc>
        <w:tc>
          <w:tcPr>
            <w:tcW w:w="1133" w:type="dxa"/>
            <w:tcBorders>
              <w:top w:val="single" w:sz="4" w:space="0" w:color="auto"/>
              <w:left w:val="single" w:sz="4" w:space="0" w:color="auto"/>
              <w:bottom w:val="single" w:sz="4" w:space="0" w:color="auto"/>
              <w:right w:val="single" w:sz="4" w:space="0" w:color="auto"/>
            </w:tcBorders>
            <w:vAlign w:val="bottom"/>
            <w:hideMark/>
          </w:tcPr>
          <w:p w14:paraId="08DD753F" w14:textId="77777777" w:rsidR="007C32A8" w:rsidRDefault="007C32A8">
            <w:pPr>
              <w:spacing w:line="256" w:lineRule="auto"/>
              <w:jc w:val="both"/>
              <w:rPr>
                <w:rFonts w:ascii="Times New Roman" w:hAnsi="Times New Roman" w:cs="Times New Roman"/>
              </w:rPr>
            </w:pPr>
            <w:r>
              <w:rPr>
                <w:rFonts w:ascii="Times New Roman" w:hAnsi="Times New Roman" w:cs="Times New Roman"/>
              </w:rPr>
              <w:t>1,3%</w:t>
            </w:r>
          </w:p>
        </w:tc>
        <w:tc>
          <w:tcPr>
            <w:tcW w:w="986" w:type="dxa"/>
            <w:tcBorders>
              <w:top w:val="single" w:sz="4" w:space="0" w:color="auto"/>
              <w:left w:val="single" w:sz="4" w:space="0" w:color="auto"/>
              <w:bottom w:val="single" w:sz="4" w:space="0" w:color="auto"/>
              <w:right w:val="single" w:sz="4" w:space="0" w:color="auto"/>
            </w:tcBorders>
            <w:vAlign w:val="bottom"/>
            <w:hideMark/>
          </w:tcPr>
          <w:p w14:paraId="32E7A091" w14:textId="77777777" w:rsidR="007C32A8" w:rsidRDefault="007C32A8">
            <w:pPr>
              <w:spacing w:line="256" w:lineRule="auto"/>
              <w:jc w:val="both"/>
              <w:rPr>
                <w:rFonts w:ascii="Times New Roman" w:hAnsi="Times New Roman" w:cs="Times New Roman"/>
              </w:rPr>
            </w:pPr>
            <w:r>
              <w:rPr>
                <w:rFonts w:ascii="Times New Roman" w:hAnsi="Times New Roman" w:cs="Times New Roman"/>
              </w:rPr>
              <w:t>0,7%</w:t>
            </w:r>
          </w:p>
        </w:tc>
        <w:tc>
          <w:tcPr>
            <w:tcW w:w="973" w:type="dxa"/>
            <w:tcBorders>
              <w:top w:val="single" w:sz="4" w:space="0" w:color="auto"/>
              <w:left w:val="single" w:sz="4" w:space="0" w:color="auto"/>
              <w:bottom w:val="single" w:sz="4" w:space="0" w:color="auto"/>
              <w:right w:val="single" w:sz="4" w:space="0" w:color="auto"/>
            </w:tcBorders>
            <w:vAlign w:val="bottom"/>
            <w:hideMark/>
          </w:tcPr>
          <w:p w14:paraId="7B07BABB" w14:textId="77777777" w:rsidR="007C32A8" w:rsidRDefault="007C32A8">
            <w:pPr>
              <w:spacing w:line="256" w:lineRule="auto"/>
              <w:jc w:val="both"/>
              <w:rPr>
                <w:rFonts w:ascii="Times New Roman" w:hAnsi="Times New Roman" w:cs="Times New Roman"/>
              </w:rPr>
            </w:pPr>
            <w:r>
              <w:rPr>
                <w:rFonts w:ascii="Times New Roman" w:hAnsi="Times New Roman" w:cs="Times New Roman"/>
              </w:rPr>
              <w:t>0,6%</w:t>
            </w:r>
          </w:p>
        </w:tc>
        <w:tc>
          <w:tcPr>
            <w:tcW w:w="946" w:type="dxa"/>
            <w:tcBorders>
              <w:top w:val="single" w:sz="4" w:space="0" w:color="auto"/>
              <w:left w:val="single" w:sz="4" w:space="0" w:color="auto"/>
              <w:bottom w:val="single" w:sz="4" w:space="0" w:color="auto"/>
              <w:right w:val="single" w:sz="4" w:space="0" w:color="auto"/>
            </w:tcBorders>
            <w:vAlign w:val="bottom"/>
            <w:hideMark/>
          </w:tcPr>
          <w:p w14:paraId="729392E3" w14:textId="77777777" w:rsidR="007C32A8" w:rsidRDefault="007C32A8">
            <w:pPr>
              <w:spacing w:line="256" w:lineRule="auto"/>
              <w:jc w:val="both"/>
              <w:rPr>
                <w:rFonts w:ascii="Times New Roman" w:hAnsi="Times New Roman" w:cs="Times New Roman"/>
              </w:rPr>
            </w:pPr>
            <w:r>
              <w:rPr>
                <w:rFonts w:ascii="Times New Roman" w:hAnsi="Times New Roman" w:cs="Times New Roman"/>
              </w:rPr>
              <w:t>2,3%</w:t>
            </w:r>
          </w:p>
        </w:tc>
      </w:tr>
      <w:tr w:rsidR="007C32A8" w14:paraId="23F6999D"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4CE7C2F4" w14:textId="77777777" w:rsidR="007C32A8" w:rsidRDefault="007C32A8">
            <w:pPr>
              <w:spacing w:line="256" w:lineRule="auto"/>
              <w:jc w:val="both"/>
              <w:rPr>
                <w:rFonts w:ascii="Times New Roman" w:hAnsi="Times New Roman" w:cs="Times New Roman"/>
              </w:rPr>
            </w:pPr>
            <w:r>
              <w:rPr>
                <w:rFonts w:ascii="Times New Roman" w:hAnsi="Times New Roman" w:cs="Times New Roman"/>
              </w:rPr>
              <w:t>Строительство</w:t>
            </w:r>
          </w:p>
        </w:tc>
        <w:tc>
          <w:tcPr>
            <w:tcW w:w="1133" w:type="dxa"/>
            <w:tcBorders>
              <w:top w:val="single" w:sz="4" w:space="0" w:color="auto"/>
              <w:left w:val="single" w:sz="4" w:space="0" w:color="auto"/>
              <w:bottom w:val="single" w:sz="4" w:space="0" w:color="auto"/>
              <w:right w:val="single" w:sz="4" w:space="0" w:color="auto"/>
            </w:tcBorders>
            <w:vAlign w:val="bottom"/>
            <w:hideMark/>
          </w:tcPr>
          <w:p w14:paraId="722EE7D9" w14:textId="77777777" w:rsidR="007C32A8" w:rsidRDefault="007C32A8">
            <w:pPr>
              <w:spacing w:line="256" w:lineRule="auto"/>
              <w:jc w:val="both"/>
              <w:rPr>
                <w:rFonts w:ascii="Times New Roman" w:hAnsi="Times New Roman" w:cs="Times New Roman"/>
              </w:rPr>
            </w:pPr>
            <w:r>
              <w:rPr>
                <w:rFonts w:ascii="Times New Roman" w:hAnsi="Times New Roman" w:cs="Times New Roman"/>
              </w:rPr>
              <w:t>5,0%</w:t>
            </w:r>
          </w:p>
        </w:tc>
        <w:tc>
          <w:tcPr>
            <w:tcW w:w="986" w:type="dxa"/>
            <w:tcBorders>
              <w:top w:val="single" w:sz="4" w:space="0" w:color="auto"/>
              <w:left w:val="single" w:sz="4" w:space="0" w:color="auto"/>
              <w:bottom w:val="single" w:sz="4" w:space="0" w:color="auto"/>
              <w:right w:val="single" w:sz="4" w:space="0" w:color="auto"/>
            </w:tcBorders>
            <w:vAlign w:val="bottom"/>
            <w:hideMark/>
          </w:tcPr>
          <w:p w14:paraId="0C816E8A" w14:textId="77777777" w:rsidR="007C32A8" w:rsidRDefault="007C32A8">
            <w:pPr>
              <w:spacing w:line="256" w:lineRule="auto"/>
              <w:jc w:val="both"/>
              <w:rPr>
                <w:rFonts w:ascii="Times New Roman" w:hAnsi="Times New Roman" w:cs="Times New Roman"/>
              </w:rPr>
            </w:pPr>
            <w:r>
              <w:rPr>
                <w:rFonts w:ascii="Times New Roman" w:hAnsi="Times New Roman" w:cs="Times New Roman"/>
              </w:rPr>
              <w:t>6,6%</w:t>
            </w:r>
          </w:p>
        </w:tc>
        <w:tc>
          <w:tcPr>
            <w:tcW w:w="973" w:type="dxa"/>
            <w:tcBorders>
              <w:top w:val="single" w:sz="4" w:space="0" w:color="auto"/>
              <w:left w:val="single" w:sz="4" w:space="0" w:color="auto"/>
              <w:bottom w:val="single" w:sz="4" w:space="0" w:color="auto"/>
              <w:right w:val="single" w:sz="4" w:space="0" w:color="auto"/>
            </w:tcBorders>
            <w:vAlign w:val="bottom"/>
            <w:hideMark/>
          </w:tcPr>
          <w:p w14:paraId="5C7A5D9A" w14:textId="77777777" w:rsidR="007C32A8" w:rsidRDefault="007C32A8">
            <w:pPr>
              <w:spacing w:line="256" w:lineRule="auto"/>
              <w:jc w:val="both"/>
              <w:rPr>
                <w:rFonts w:ascii="Times New Roman" w:hAnsi="Times New Roman" w:cs="Times New Roman"/>
              </w:rPr>
            </w:pPr>
            <w:r>
              <w:rPr>
                <w:rFonts w:ascii="Times New Roman" w:hAnsi="Times New Roman" w:cs="Times New Roman"/>
              </w:rPr>
              <w:t>4,3%</w:t>
            </w:r>
          </w:p>
        </w:tc>
        <w:tc>
          <w:tcPr>
            <w:tcW w:w="946" w:type="dxa"/>
            <w:tcBorders>
              <w:top w:val="single" w:sz="4" w:space="0" w:color="auto"/>
              <w:left w:val="single" w:sz="4" w:space="0" w:color="auto"/>
              <w:bottom w:val="single" w:sz="4" w:space="0" w:color="auto"/>
              <w:right w:val="single" w:sz="4" w:space="0" w:color="auto"/>
            </w:tcBorders>
            <w:vAlign w:val="bottom"/>
            <w:hideMark/>
          </w:tcPr>
          <w:p w14:paraId="5D65C2FF" w14:textId="77777777" w:rsidR="007C32A8" w:rsidRDefault="007C32A8">
            <w:pPr>
              <w:spacing w:line="256" w:lineRule="auto"/>
              <w:jc w:val="both"/>
              <w:rPr>
                <w:rFonts w:ascii="Times New Roman" w:hAnsi="Times New Roman" w:cs="Times New Roman"/>
              </w:rPr>
            </w:pPr>
            <w:r>
              <w:rPr>
                <w:rFonts w:ascii="Times New Roman" w:hAnsi="Times New Roman" w:cs="Times New Roman"/>
              </w:rPr>
              <w:t>6,7%</w:t>
            </w:r>
          </w:p>
        </w:tc>
      </w:tr>
      <w:tr w:rsidR="007C32A8" w14:paraId="472B4D5C"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466FE1DE"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Сфера услуг, в том числе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4D38E694"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73,7%</w:t>
            </w:r>
          </w:p>
        </w:tc>
        <w:tc>
          <w:tcPr>
            <w:tcW w:w="986" w:type="dxa"/>
            <w:tcBorders>
              <w:top w:val="single" w:sz="4" w:space="0" w:color="auto"/>
              <w:left w:val="single" w:sz="4" w:space="0" w:color="auto"/>
              <w:bottom w:val="single" w:sz="4" w:space="0" w:color="auto"/>
              <w:right w:val="single" w:sz="4" w:space="0" w:color="auto"/>
            </w:tcBorders>
            <w:vAlign w:val="bottom"/>
            <w:hideMark/>
          </w:tcPr>
          <w:p w14:paraId="1AF288F2"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74,2%</w:t>
            </w:r>
          </w:p>
        </w:tc>
        <w:tc>
          <w:tcPr>
            <w:tcW w:w="973" w:type="dxa"/>
            <w:tcBorders>
              <w:top w:val="single" w:sz="4" w:space="0" w:color="auto"/>
              <w:left w:val="single" w:sz="4" w:space="0" w:color="auto"/>
              <w:bottom w:val="single" w:sz="4" w:space="0" w:color="auto"/>
              <w:right w:val="single" w:sz="4" w:space="0" w:color="auto"/>
            </w:tcBorders>
            <w:vAlign w:val="bottom"/>
            <w:hideMark/>
          </w:tcPr>
          <w:p w14:paraId="657C62D6"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84,9%</w:t>
            </w:r>
          </w:p>
        </w:tc>
        <w:tc>
          <w:tcPr>
            <w:tcW w:w="946" w:type="dxa"/>
            <w:tcBorders>
              <w:top w:val="single" w:sz="4" w:space="0" w:color="auto"/>
              <w:left w:val="single" w:sz="4" w:space="0" w:color="auto"/>
              <w:bottom w:val="single" w:sz="4" w:space="0" w:color="auto"/>
              <w:right w:val="single" w:sz="4" w:space="0" w:color="auto"/>
            </w:tcBorders>
            <w:vAlign w:val="bottom"/>
            <w:hideMark/>
          </w:tcPr>
          <w:p w14:paraId="6FE88B0C"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60,1%</w:t>
            </w:r>
          </w:p>
        </w:tc>
      </w:tr>
      <w:tr w:rsidR="007C32A8" w14:paraId="209AAFED"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6343A1F4" w14:textId="77777777" w:rsidR="007C32A8" w:rsidRDefault="007C32A8">
            <w:pPr>
              <w:spacing w:line="256" w:lineRule="auto"/>
              <w:jc w:val="both"/>
              <w:rPr>
                <w:rFonts w:ascii="Times New Roman" w:hAnsi="Times New Roman" w:cs="Times New Roman"/>
              </w:rPr>
            </w:pPr>
            <w:r>
              <w:rPr>
                <w:rFonts w:ascii="Times New Roman" w:hAnsi="Times New Roman" w:cs="Times New Roman"/>
              </w:rPr>
              <w:t>Оптовая торговля и ремонт автотранспортных средств и мотоциклов</w:t>
            </w:r>
          </w:p>
        </w:tc>
        <w:tc>
          <w:tcPr>
            <w:tcW w:w="1133" w:type="dxa"/>
            <w:tcBorders>
              <w:top w:val="single" w:sz="4" w:space="0" w:color="auto"/>
              <w:left w:val="single" w:sz="4" w:space="0" w:color="auto"/>
              <w:bottom w:val="single" w:sz="4" w:space="0" w:color="auto"/>
              <w:right w:val="single" w:sz="4" w:space="0" w:color="auto"/>
            </w:tcBorders>
            <w:vAlign w:val="bottom"/>
            <w:hideMark/>
          </w:tcPr>
          <w:p w14:paraId="34A8FE2F" w14:textId="77777777" w:rsidR="007C32A8" w:rsidRDefault="007C32A8">
            <w:pPr>
              <w:spacing w:line="256" w:lineRule="auto"/>
              <w:jc w:val="both"/>
              <w:rPr>
                <w:rFonts w:ascii="Times New Roman" w:hAnsi="Times New Roman" w:cs="Times New Roman"/>
              </w:rPr>
            </w:pPr>
            <w:r>
              <w:rPr>
                <w:rFonts w:ascii="Times New Roman" w:hAnsi="Times New Roman" w:cs="Times New Roman"/>
              </w:rPr>
              <w:t>6,4%</w:t>
            </w:r>
          </w:p>
        </w:tc>
        <w:tc>
          <w:tcPr>
            <w:tcW w:w="986" w:type="dxa"/>
            <w:tcBorders>
              <w:top w:val="single" w:sz="4" w:space="0" w:color="auto"/>
              <w:left w:val="single" w:sz="4" w:space="0" w:color="auto"/>
              <w:bottom w:val="single" w:sz="4" w:space="0" w:color="auto"/>
              <w:right w:val="single" w:sz="4" w:space="0" w:color="auto"/>
            </w:tcBorders>
            <w:vAlign w:val="bottom"/>
            <w:hideMark/>
          </w:tcPr>
          <w:p w14:paraId="522C242B" w14:textId="77777777" w:rsidR="007C32A8" w:rsidRDefault="007C32A8">
            <w:pPr>
              <w:spacing w:line="256" w:lineRule="auto"/>
              <w:jc w:val="both"/>
              <w:rPr>
                <w:rFonts w:ascii="Times New Roman" w:hAnsi="Times New Roman" w:cs="Times New Roman"/>
              </w:rPr>
            </w:pPr>
            <w:r>
              <w:rPr>
                <w:rFonts w:ascii="Times New Roman" w:hAnsi="Times New Roman" w:cs="Times New Roman"/>
              </w:rPr>
              <w:t>6,8%</w:t>
            </w:r>
          </w:p>
        </w:tc>
        <w:tc>
          <w:tcPr>
            <w:tcW w:w="973" w:type="dxa"/>
            <w:tcBorders>
              <w:top w:val="single" w:sz="4" w:space="0" w:color="auto"/>
              <w:left w:val="single" w:sz="4" w:space="0" w:color="auto"/>
              <w:bottom w:val="single" w:sz="4" w:space="0" w:color="auto"/>
              <w:right w:val="single" w:sz="4" w:space="0" w:color="auto"/>
            </w:tcBorders>
            <w:vAlign w:val="bottom"/>
            <w:hideMark/>
          </w:tcPr>
          <w:p w14:paraId="02747053" w14:textId="77777777" w:rsidR="007C32A8" w:rsidRDefault="007C32A8">
            <w:pPr>
              <w:spacing w:line="256" w:lineRule="auto"/>
              <w:jc w:val="both"/>
              <w:rPr>
                <w:rFonts w:ascii="Times New Roman" w:hAnsi="Times New Roman" w:cs="Times New Roman"/>
              </w:rPr>
            </w:pPr>
            <w:r>
              <w:rPr>
                <w:rFonts w:ascii="Times New Roman" w:hAnsi="Times New Roman" w:cs="Times New Roman"/>
              </w:rPr>
              <w:t>5,8%</w:t>
            </w:r>
          </w:p>
        </w:tc>
        <w:tc>
          <w:tcPr>
            <w:tcW w:w="946" w:type="dxa"/>
            <w:tcBorders>
              <w:top w:val="single" w:sz="4" w:space="0" w:color="auto"/>
              <w:left w:val="single" w:sz="4" w:space="0" w:color="auto"/>
              <w:bottom w:val="single" w:sz="4" w:space="0" w:color="auto"/>
              <w:right w:val="single" w:sz="4" w:space="0" w:color="auto"/>
            </w:tcBorders>
            <w:vAlign w:val="bottom"/>
            <w:hideMark/>
          </w:tcPr>
          <w:p w14:paraId="4805C671" w14:textId="77777777" w:rsidR="007C32A8" w:rsidRDefault="007C32A8">
            <w:pPr>
              <w:spacing w:line="256" w:lineRule="auto"/>
              <w:jc w:val="both"/>
              <w:rPr>
                <w:rFonts w:ascii="Times New Roman" w:hAnsi="Times New Roman" w:cs="Times New Roman"/>
              </w:rPr>
            </w:pPr>
            <w:r>
              <w:rPr>
                <w:rFonts w:ascii="Times New Roman" w:hAnsi="Times New Roman" w:cs="Times New Roman"/>
              </w:rPr>
              <w:t>4,9%</w:t>
            </w:r>
          </w:p>
        </w:tc>
      </w:tr>
      <w:tr w:rsidR="007C32A8" w14:paraId="6014926C"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695BDD87" w14:textId="77777777" w:rsidR="007C32A8" w:rsidRDefault="007C32A8">
            <w:pPr>
              <w:spacing w:line="256" w:lineRule="auto"/>
              <w:jc w:val="both"/>
              <w:rPr>
                <w:rFonts w:ascii="Times New Roman" w:hAnsi="Times New Roman" w:cs="Times New Roman"/>
              </w:rPr>
            </w:pPr>
            <w:r>
              <w:rPr>
                <w:rFonts w:ascii="Times New Roman" w:hAnsi="Times New Roman" w:cs="Times New Roman"/>
              </w:rPr>
              <w:t>Розничная торговля</w:t>
            </w:r>
          </w:p>
        </w:tc>
        <w:tc>
          <w:tcPr>
            <w:tcW w:w="1133" w:type="dxa"/>
            <w:tcBorders>
              <w:top w:val="single" w:sz="4" w:space="0" w:color="auto"/>
              <w:left w:val="single" w:sz="4" w:space="0" w:color="auto"/>
              <w:bottom w:val="single" w:sz="4" w:space="0" w:color="auto"/>
              <w:right w:val="single" w:sz="4" w:space="0" w:color="auto"/>
            </w:tcBorders>
            <w:vAlign w:val="bottom"/>
            <w:hideMark/>
          </w:tcPr>
          <w:p w14:paraId="044E7A5C" w14:textId="77777777" w:rsidR="007C32A8" w:rsidRDefault="007C32A8">
            <w:pPr>
              <w:spacing w:line="256" w:lineRule="auto"/>
              <w:jc w:val="both"/>
              <w:rPr>
                <w:rFonts w:ascii="Times New Roman" w:hAnsi="Times New Roman" w:cs="Times New Roman"/>
              </w:rPr>
            </w:pPr>
            <w:r>
              <w:rPr>
                <w:rFonts w:ascii="Times New Roman" w:hAnsi="Times New Roman" w:cs="Times New Roman"/>
              </w:rPr>
              <w:t>7,4%</w:t>
            </w:r>
          </w:p>
        </w:tc>
        <w:tc>
          <w:tcPr>
            <w:tcW w:w="986" w:type="dxa"/>
            <w:tcBorders>
              <w:top w:val="single" w:sz="4" w:space="0" w:color="auto"/>
              <w:left w:val="single" w:sz="4" w:space="0" w:color="auto"/>
              <w:bottom w:val="single" w:sz="4" w:space="0" w:color="auto"/>
              <w:right w:val="single" w:sz="4" w:space="0" w:color="auto"/>
            </w:tcBorders>
            <w:vAlign w:val="bottom"/>
            <w:hideMark/>
          </w:tcPr>
          <w:p w14:paraId="51B8C7A1" w14:textId="77777777" w:rsidR="007C32A8" w:rsidRDefault="007C32A8">
            <w:pPr>
              <w:spacing w:line="256" w:lineRule="auto"/>
              <w:jc w:val="both"/>
              <w:rPr>
                <w:rFonts w:ascii="Times New Roman" w:hAnsi="Times New Roman" w:cs="Times New Roman"/>
              </w:rPr>
            </w:pPr>
            <w:r>
              <w:rPr>
                <w:rFonts w:ascii="Times New Roman" w:hAnsi="Times New Roman" w:cs="Times New Roman"/>
              </w:rPr>
              <w:t>9,9%</w:t>
            </w:r>
          </w:p>
        </w:tc>
        <w:tc>
          <w:tcPr>
            <w:tcW w:w="973" w:type="dxa"/>
            <w:tcBorders>
              <w:top w:val="single" w:sz="4" w:space="0" w:color="auto"/>
              <w:left w:val="single" w:sz="4" w:space="0" w:color="auto"/>
              <w:bottom w:val="single" w:sz="4" w:space="0" w:color="auto"/>
              <w:right w:val="single" w:sz="4" w:space="0" w:color="auto"/>
            </w:tcBorders>
            <w:vAlign w:val="bottom"/>
            <w:hideMark/>
          </w:tcPr>
          <w:p w14:paraId="38CF4BC6" w14:textId="77777777" w:rsidR="007C32A8" w:rsidRDefault="007C32A8">
            <w:pPr>
              <w:spacing w:line="256" w:lineRule="auto"/>
              <w:jc w:val="both"/>
              <w:rPr>
                <w:rFonts w:ascii="Times New Roman" w:hAnsi="Times New Roman" w:cs="Times New Roman"/>
              </w:rPr>
            </w:pPr>
            <w:r>
              <w:rPr>
                <w:rFonts w:ascii="Times New Roman" w:hAnsi="Times New Roman" w:cs="Times New Roman"/>
              </w:rPr>
              <w:t>9,3%</w:t>
            </w:r>
          </w:p>
        </w:tc>
        <w:tc>
          <w:tcPr>
            <w:tcW w:w="946" w:type="dxa"/>
            <w:tcBorders>
              <w:top w:val="single" w:sz="4" w:space="0" w:color="auto"/>
              <w:left w:val="single" w:sz="4" w:space="0" w:color="auto"/>
              <w:bottom w:val="single" w:sz="4" w:space="0" w:color="auto"/>
              <w:right w:val="single" w:sz="4" w:space="0" w:color="auto"/>
            </w:tcBorders>
            <w:vAlign w:val="bottom"/>
            <w:hideMark/>
          </w:tcPr>
          <w:p w14:paraId="039AAE12"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12,7%</w:t>
            </w:r>
          </w:p>
        </w:tc>
      </w:tr>
      <w:tr w:rsidR="007C32A8" w14:paraId="005050D1"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104227AF" w14:textId="77777777" w:rsidR="007C32A8" w:rsidRDefault="007C32A8">
            <w:pPr>
              <w:spacing w:line="256" w:lineRule="auto"/>
              <w:jc w:val="both"/>
              <w:rPr>
                <w:rFonts w:ascii="Times New Roman" w:hAnsi="Times New Roman" w:cs="Times New Roman"/>
              </w:rPr>
            </w:pPr>
            <w:r>
              <w:rPr>
                <w:rFonts w:ascii="Times New Roman" w:hAnsi="Times New Roman" w:cs="Times New Roman"/>
              </w:rPr>
              <w:t>Транспорт наземный</w:t>
            </w:r>
          </w:p>
        </w:tc>
        <w:tc>
          <w:tcPr>
            <w:tcW w:w="1133" w:type="dxa"/>
            <w:tcBorders>
              <w:top w:val="single" w:sz="4" w:space="0" w:color="auto"/>
              <w:left w:val="single" w:sz="4" w:space="0" w:color="auto"/>
              <w:bottom w:val="single" w:sz="4" w:space="0" w:color="auto"/>
              <w:right w:val="single" w:sz="4" w:space="0" w:color="auto"/>
            </w:tcBorders>
            <w:vAlign w:val="bottom"/>
            <w:hideMark/>
          </w:tcPr>
          <w:p w14:paraId="54F90E02" w14:textId="77777777" w:rsidR="007C32A8" w:rsidRDefault="007C32A8">
            <w:pPr>
              <w:spacing w:line="256" w:lineRule="auto"/>
              <w:jc w:val="both"/>
              <w:rPr>
                <w:rFonts w:ascii="Times New Roman" w:hAnsi="Times New Roman" w:cs="Times New Roman"/>
              </w:rPr>
            </w:pPr>
            <w:r>
              <w:rPr>
                <w:rFonts w:ascii="Times New Roman" w:hAnsi="Times New Roman" w:cs="Times New Roman"/>
              </w:rPr>
              <w:t>2,1%</w:t>
            </w:r>
          </w:p>
        </w:tc>
        <w:tc>
          <w:tcPr>
            <w:tcW w:w="986" w:type="dxa"/>
            <w:tcBorders>
              <w:top w:val="single" w:sz="4" w:space="0" w:color="auto"/>
              <w:left w:val="single" w:sz="4" w:space="0" w:color="auto"/>
              <w:bottom w:val="single" w:sz="4" w:space="0" w:color="auto"/>
              <w:right w:val="single" w:sz="4" w:space="0" w:color="auto"/>
            </w:tcBorders>
            <w:vAlign w:val="bottom"/>
            <w:hideMark/>
          </w:tcPr>
          <w:p w14:paraId="719B4DB9" w14:textId="77777777" w:rsidR="007C32A8" w:rsidRDefault="007C32A8">
            <w:pPr>
              <w:spacing w:line="256" w:lineRule="auto"/>
              <w:jc w:val="both"/>
              <w:rPr>
                <w:rFonts w:ascii="Times New Roman" w:hAnsi="Times New Roman" w:cs="Times New Roman"/>
              </w:rPr>
            </w:pPr>
            <w:r>
              <w:rPr>
                <w:rFonts w:ascii="Times New Roman" w:hAnsi="Times New Roman" w:cs="Times New Roman"/>
              </w:rPr>
              <w:t>4,2%</w:t>
            </w:r>
          </w:p>
        </w:tc>
        <w:tc>
          <w:tcPr>
            <w:tcW w:w="973" w:type="dxa"/>
            <w:tcBorders>
              <w:top w:val="single" w:sz="4" w:space="0" w:color="auto"/>
              <w:left w:val="single" w:sz="4" w:space="0" w:color="auto"/>
              <w:bottom w:val="single" w:sz="4" w:space="0" w:color="auto"/>
              <w:right w:val="single" w:sz="4" w:space="0" w:color="auto"/>
            </w:tcBorders>
            <w:vAlign w:val="bottom"/>
            <w:hideMark/>
          </w:tcPr>
          <w:p w14:paraId="6E019ABB" w14:textId="77777777" w:rsidR="007C32A8" w:rsidRDefault="007C32A8">
            <w:pPr>
              <w:spacing w:line="256" w:lineRule="auto"/>
              <w:jc w:val="both"/>
              <w:rPr>
                <w:rFonts w:ascii="Times New Roman" w:hAnsi="Times New Roman" w:cs="Times New Roman"/>
              </w:rPr>
            </w:pPr>
            <w:r>
              <w:rPr>
                <w:rFonts w:ascii="Times New Roman" w:hAnsi="Times New Roman" w:cs="Times New Roman"/>
              </w:rPr>
              <w:t>1,5%</w:t>
            </w:r>
          </w:p>
        </w:tc>
        <w:tc>
          <w:tcPr>
            <w:tcW w:w="946" w:type="dxa"/>
            <w:tcBorders>
              <w:top w:val="single" w:sz="4" w:space="0" w:color="auto"/>
              <w:left w:val="single" w:sz="4" w:space="0" w:color="auto"/>
              <w:bottom w:val="single" w:sz="4" w:space="0" w:color="auto"/>
              <w:right w:val="single" w:sz="4" w:space="0" w:color="auto"/>
            </w:tcBorders>
            <w:vAlign w:val="bottom"/>
            <w:hideMark/>
          </w:tcPr>
          <w:p w14:paraId="4E99E0C2" w14:textId="77777777" w:rsidR="007C32A8" w:rsidRDefault="007C32A8">
            <w:pPr>
              <w:spacing w:line="256" w:lineRule="auto"/>
              <w:jc w:val="both"/>
              <w:rPr>
                <w:rFonts w:ascii="Times New Roman" w:hAnsi="Times New Roman" w:cs="Times New Roman"/>
              </w:rPr>
            </w:pPr>
            <w:r>
              <w:rPr>
                <w:rFonts w:ascii="Times New Roman" w:hAnsi="Times New Roman" w:cs="Times New Roman"/>
              </w:rPr>
              <w:t>4,6%</w:t>
            </w:r>
          </w:p>
        </w:tc>
      </w:tr>
      <w:tr w:rsidR="007C32A8" w14:paraId="75DA7C5A"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24390957" w14:textId="77777777" w:rsidR="007C32A8" w:rsidRDefault="007C32A8">
            <w:pPr>
              <w:spacing w:line="256" w:lineRule="auto"/>
              <w:jc w:val="both"/>
              <w:rPr>
                <w:rFonts w:ascii="Times New Roman" w:hAnsi="Times New Roman" w:cs="Times New Roman"/>
              </w:rPr>
            </w:pPr>
            <w:r>
              <w:rPr>
                <w:rFonts w:ascii="Times New Roman" w:hAnsi="Times New Roman" w:cs="Times New Roman"/>
              </w:rPr>
              <w:t>Деятельность административная и сопутствующие услуги</w:t>
            </w:r>
          </w:p>
        </w:tc>
        <w:tc>
          <w:tcPr>
            <w:tcW w:w="1133" w:type="dxa"/>
            <w:tcBorders>
              <w:top w:val="single" w:sz="4" w:space="0" w:color="auto"/>
              <w:left w:val="single" w:sz="4" w:space="0" w:color="auto"/>
              <w:bottom w:val="single" w:sz="4" w:space="0" w:color="auto"/>
              <w:right w:val="single" w:sz="4" w:space="0" w:color="auto"/>
            </w:tcBorders>
            <w:vAlign w:val="bottom"/>
            <w:hideMark/>
          </w:tcPr>
          <w:p w14:paraId="3B2816EA" w14:textId="77777777" w:rsidR="007C32A8" w:rsidRDefault="007C32A8">
            <w:pPr>
              <w:spacing w:line="256" w:lineRule="auto"/>
              <w:jc w:val="both"/>
              <w:rPr>
                <w:rFonts w:ascii="Times New Roman" w:hAnsi="Times New Roman" w:cs="Times New Roman"/>
              </w:rPr>
            </w:pPr>
            <w:r>
              <w:rPr>
                <w:rFonts w:ascii="Times New Roman" w:hAnsi="Times New Roman" w:cs="Times New Roman"/>
              </w:rPr>
              <w:t>7,2%</w:t>
            </w:r>
          </w:p>
        </w:tc>
        <w:tc>
          <w:tcPr>
            <w:tcW w:w="986" w:type="dxa"/>
            <w:tcBorders>
              <w:top w:val="single" w:sz="4" w:space="0" w:color="auto"/>
              <w:left w:val="single" w:sz="4" w:space="0" w:color="auto"/>
              <w:bottom w:val="single" w:sz="4" w:space="0" w:color="auto"/>
              <w:right w:val="single" w:sz="4" w:space="0" w:color="auto"/>
            </w:tcBorders>
            <w:vAlign w:val="bottom"/>
            <w:hideMark/>
          </w:tcPr>
          <w:p w14:paraId="0C03DBBD" w14:textId="77777777" w:rsidR="007C32A8" w:rsidRDefault="007C32A8">
            <w:pPr>
              <w:spacing w:line="256" w:lineRule="auto"/>
              <w:jc w:val="both"/>
              <w:rPr>
                <w:rFonts w:ascii="Times New Roman" w:hAnsi="Times New Roman" w:cs="Times New Roman"/>
              </w:rPr>
            </w:pPr>
            <w:r>
              <w:rPr>
                <w:rFonts w:ascii="Times New Roman" w:hAnsi="Times New Roman" w:cs="Times New Roman"/>
              </w:rPr>
              <w:t>0,7%</w:t>
            </w:r>
          </w:p>
        </w:tc>
        <w:tc>
          <w:tcPr>
            <w:tcW w:w="973" w:type="dxa"/>
            <w:tcBorders>
              <w:top w:val="single" w:sz="4" w:space="0" w:color="auto"/>
              <w:left w:val="single" w:sz="4" w:space="0" w:color="auto"/>
              <w:bottom w:val="single" w:sz="4" w:space="0" w:color="auto"/>
              <w:right w:val="single" w:sz="4" w:space="0" w:color="auto"/>
            </w:tcBorders>
            <w:vAlign w:val="bottom"/>
            <w:hideMark/>
          </w:tcPr>
          <w:p w14:paraId="0B119524" w14:textId="77777777" w:rsidR="007C32A8" w:rsidRDefault="007C32A8">
            <w:pPr>
              <w:spacing w:line="256" w:lineRule="auto"/>
              <w:jc w:val="both"/>
              <w:rPr>
                <w:rFonts w:ascii="Times New Roman" w:hAnsi="Times New Roman" w:cs="Times New Roman"/>
              </w:rPr>
            </w:pPr>
            <w:r>
              <w:rPr>
                <w:rFonts w:ascii="Times New Roman" w:hAnsi="Times New Roman" w:cs="Times New Roman"/>
              </w:rPr>
              <w:t>7,9%</w:t>
            </w:r>
          </w:p>
        </w:tc>
        <w:tc>
          <w:tcPr>
            <w:tcW w:w="946" w:type="dxa"/>
            <w:tcBorders>
              <w:top w:val="single" w:sz="4" w:space="0" w:color="auto"/>
              <w:left w:val="single" w:sz="4" w:space="0" w:color="auto"/>
              <w:bottom w:val="single" w:sz="4" w:space="0" w:color="auto"/>
              <w:right w:val="single" w:sz="4" w:space="0" w:color="auto"/>
            </w:tcBorders>
            <w:vAlign w:val="bottom"/>
            <w:hideMark/>
          </w:tcPr>
          <w:p w14:paraId="3C933163" w14:textId="77777777" w:rsidR="007C32A8" w:rsidRDefault="007C32A8">
            <w:pPr>
              <w:spacing w:line="256" w:lineRule="auto"/>
              <w:jc w:val="both"/>
              <w:rPr>
                <w:rFonts w:ascii="Times New Roman" w:hAnsi="Times New Roman" w:cs="Times New Roman"/>
              </w:rPr>
            </w:pPr>
            <w:r>
              <w:rPr>
                <w:rFonts w:ascii="Times New Roman" w:hAnsi="Times New Roman" w:cs="Times New Roman"/>
              </w:rPr>
              <w:t>4,6%</w:t>
            </w:r>
          </w:p>
        </w:tc>
      </w:tr>
      <w:tr w:rsidR="007C32A8" w14:paraId="501A176F"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59E17D48" w14:textId="77777777" w:rsidR="007C32A8" w:rsidRDefault="007C32A8">
            <w:pPr>
              <w:spacing w:line="256" w:lineRule="auto"/>
              <w:jc w:val="both"/>
              <w:rPr>
                <w:rFonts w:ascii="Times New Roman" w:hAnsi="Times New Roman" w:cs="Times New Roman"/>
              </w:rPr>
            </w:pPr>
            <w:r>
              <w:rPr>
                <w:rFonts w:ascii="Times New Roman" w:hAnsi="Times New Roman" w:cs="Times New Roman"/>
              </w:rPr>
              <w:t>Государственное управление и обеспечение военной безопасности, социальное обеспечение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3A902546" w14:textId="77777777" w:rsidR="007C32A8" w:rsidRDefault="007C32A8">
            <w:pPr>
              <w:spacing w:line="256" w:lineRule="auto"/>
              <w:jc w:val="both"/>
              <w:rPr>
                <w:rFonts w:ascii="Times New Roman" w:hAnsi="Times New Roman" w:cs="Times New Roman"/>
              </w:rPr>
            </w:pPr>
            <w:r>
              <w:rPr>
                <w:rFonts w:ascii="Times New Roman" w:hAnsi="Times New Roman" w:cs="Times New Roman"/>
              </w:rPr>
              <w:t>6,6%</w:t>
            </w:r>
          </w:p>
        </w:tc>
        <w:tc>
          <w:tcPr>
            <w:tcW w:w="986" w:type="dxa"/>
            <w:tcBorders>
              <w:top w:val="single" w:sz="4" w:space="0" w:color="auto"/>
              <w:left w:val="single" w:sz="4" w:space="0" w:color="auto"/>
              <w:bottom w:val="single" w:sz="4" w:space="0" w:color="auto"/>
              <w:right w:val="single" w:sz="4" w:space="0" w:color="auto"/>
            </w:tcBorders>
            <w:vAlign w:val="bottom"/>
            <w:hideMark/>
          </w:tcPr>
          <w:p w14:paraId="46F2BA68" w14:textId="77777777" w:rsidR="007C32A8" w:rsidRDefault="007C32A8">
            <w:pPr>
              <w:spacing w:line="256" w:lineRule="auto"/>
              <w:jc w:val="both"/>
              <w:rPr>
                <w:rFonts w:ascii="Times New Roman" w:hAnsi="Times New Roman" w:cs="Times New Roman"/>
              </w:rPr>
            </w:pPr>
            <w:r>
              <w:rPr>
                <w:rFonts w:ascii="Times New Roman" w:hAnsi="Times New Roman" w:cs="Times New Roman"/>
              </w:rPr>
              <w:t>6,3%</w:t>
            </w:r>
          </w:p>
        </w:tc>
        <w:tc>
          <w:tcPr>
            <w:tcW w:w="973" w:type="dxa"/>
            <w:tcBorders>
              <w:top w:val="single" w:sz="4" w:space="0" w:color="auto"/>
              <w:left w:val="single" w:sz="4" w:space="0" w:color="auto"/>
              <w:bottom w:val="single" w:sz="4" w:space="0" w:color="auto"/>
              <w:right w:val="single" w:sz="4" w:space="0" w:color="auto"/>
            </w:tcBorders>
            <w:vAlign w:val="bottom"/>
            <w:hideMark/>
          </w:tcPr>
          <w:p w14:paraId="68E608A9"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16,6%</w:t>
            </w:r>
          </w:p>
        </w:tc>
        <w:tc>
          <w:tcPr>
            <w:tcW w:w="946" w:type="dxa"/>
            <w:tcBorders>
              <w:top w:val="single" w:sz="4" w:space="0" w:color="auto"/>
              <w:left w:val="single" w:sz="4" w:space="0" w:color="auto"/>
              <w:bottom w:val="single" w:sz="4" w:space="0" w:color="auto"/>
              <w:right w:val="single" w:sz="4" w:space="0" w:color="auto"/>
            </w:tcBorders>
            <w:vAlign w:val="bottom"/>
            <w:hideMark/>
          </w:tcPr>
          <w:p w14:paraId="5BE73647" w14:textId="77777777" w:rsidR="007C32A8" w:rsidRDefault="007C32A8">
            <w:pPr>
              <w:spacing w:line="256" w:lineRule="auto"/>
              <w:jc w:val="both"/>
              <w:rPr>
                <w:rFonts w:ascii="Times New Roman" w:hAnsi="Times New Roman" w:cs="Times New Roman"/>
              </w:rPr>
            </w:pPr>
            <w:r>
              <w:rPr>
                <w:rFonts w:ascii="Times New Roman" w:hAnsi="Times New Roman" w:cs="Times New Roman"/>
              </w:rPr>
              <w:t>6,4%</w:t>
            </w:r>
          </w:p>
        </w:tc>
      </w:tr>
      <w:tr w:rsidR="007C32A8" w14:paraId="3B76324A"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1401EEC5" w14:textId="77777777" w:rsidR="007C32A8" w:rsidRDefault="007C32A8">
            <w:pPr>
              <w:spacing w:line="256" w:lineRule="auto"/>
              <w:jc w:val="both"/>
              <w:rPr>
                <w:rFonts w:ascii="Times New Roman" w:hAnsi="Times New Roman" w:cs="Times New Roman"/>
              </w:rPr>
            </w:pPr>
            <w:r>
              <w:rPr>
                <w:rFonts w:ascii="Times New Roman" w:hAnsi="Times New Roman" w:cs="Times New Roman"/>
              </w:rPr>
              <w:t>Образование</w:t>
            </w:r>
          </w:p>
        </w:tc>
        <w:tc>
          <w:tcPr>
            <w:tcW w:w="1133" w:type="dxa"/>
            <w:tcBorders>
              <w:top w:val="single" w:sz="4" w:space="0" w:color="auto"/>
              <w:left w:val="single" w:sz="4" w:space="0" w:color="auto"/>
              <w:bottom w:val="single" w:sz="4" w:space="0" w:color="auto"/>
              <w:right w:val="single" w:sz="4" w:space="0" w:color="auto"/>
            </w:tcBorders>
            <w:vAlign w:val="bottom"/>
            <w:hideMark/>
          </w:tcPr>
          <w:p w14:paraId="2931AF32" w14:textId="77777777" w:rsidR="007C32A8" w:rsidRDefault="007C32A8">
            <w:pPr>
              <w:spacing w:line="256" w:lineRule="auto"/>
              <w:jc w:val="both"/>
              <w:rPr>
                <w:rFonts w:ascii="Times New Roman" w:hAnsi="Times New Roman" w:cs="Times New Roman"/>
              </w:rPr>
            </w:pPr>
            <w:r>
              <w:rPr>
                <w:rFonts w:ascii="Times New Roman" w:hAnsi="Times New Roman" w:cs="Times New Roman"/>
              </w:rPr>
              <w:t>5,8%</w:t>
            </w:r>
          </w:p>
        </w:tc>
        <w:tc>
          <w:tcPr>
            <w:tcW w:w="986" w:type="dxa"/>
            <w:tcBorders>
              <w:top w:val="single" w:sz="4" w:space="0" w:color="auto"/>
              <w:left w:val="single" w:sz="4" w:space="0" w:color="auto"/>
              <w:bottom w:val="single" w:sz="4" w:space="0" w:color="auto"/>
              <w:right w:val="single" w:sz="4" w:space="0" w:color="auto"/>
            </w:tcBorders>
            <w:vAlign w:val="bottom"/>
            <w:hideMark/>
          </w:tcPr>
          <w:p w14:paraId="721ACA68" w14:textId="77777777" w:rsidR="007C32A8" w:rsidRDefault="007C32A8">
            <w:pPr>
              <w:spacing w:line="256" w:lineRule="auto"/>
              <w:jc w:val="both"/>
              <w:rPr>
                <w:rFonts w:ascii="Times New Roman" w:hAnsi="Times New Roman" w:cs="Times New Roman"/>
              </w:rPr>
            </w:pPr>
            <w:r>
              <w:rPr>
                <w:rFonts w:ascii="Times New Roman" w:hAnsi="Times New Roman" w:cs="Times New Roman"/>
              </w:rPr>
              <w:t>3,7%</w:t>
            </w:r>
          </w:p>
        </w:tc>
        <w:tc>
          <w:tcPr>
            <w:tcW w:w="973" w:type="dxa"/>
            <w:tcBorders>
              <w:top w:val="single" w:sz="4" w:space="0" w:color="auto"/>
              <w:left w:val="single" w:sz="4" w:space="0" w:color="auto"/>
              <w:bottom w:val="single" w:sz="4" w:space="0" w:color="auto"/>
              <w:right w:val="single" w:sz="4" w:space="0" w:color="auto"/>
            </w:tcBorders>
            <w:vAlign w:val="bottom"/>
            <w:hideMark/>
          </w:tcPr>
          <w:p w14:paraId="08D3EF4C" w14:textId="77777777" w:rsidR="007C32A8" w:rsidRDefault="007C32A8">
            <w:pPr>
              <w:spacing w:line="256" w:lineRule="auto"/>
              <w:jc w:val="both"/>
              <w:rPr>
                <w:rFonts w:ascii="Times New Roman" w:hAnsi="Times New Roman" w:cs="Times New Roman"/>
              </w:rPr>
            </w:pPr>
            <w:r>
              <w:rPr>
                <w:rFonts w:ascii="Times New Roman" w:hAnsi="Times New Roman" w:cs="Times New Roman"/>
              </w:rPr>
              <w:t>2,3%</w:t>
            </w:r>
          </w:p>
        </w:tc>
        <w:tc>
          <w:tcPr>
            <w:tcW w:w="946" w:type="dxa"/>
            <w:tcBorders>
              <w:top w:val="single" w:sz="4" w:space="0" w:color="auto"/>
              <w:left w:val="single" w:sz="4" w:space="0" w:color="auto"/>
              <w:bottom w:val="single" w:sz="4" w:space="0" w:color="auto"/>
              <w:right w:val="single" w:sz="4" w:space="0" w:color="auto"/>
            </w:tcBorders>
            <w:vAlign w:val="bottom"/>
            <w:hideMark/>
          </w:tcPr>
          <w:p w14:paraId="458FDF4C"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9,7%</w:t>
            </w:r>
          </w:p>
        </w:tc>
      </w:tr>
      <w:tr w:rsidR="007C32A8" w14:paraId="502FA619"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407405E4" w14:textId="77777777" w:rsidR="007C32A8" w:rsidRDefault="007C32A8">
            <w:pPr>
              <w:spacing w:line="256" w:lineRule="auto"/>
              <w:jc w:val="both"/>
              <w:rPr>
                <w:rFonts w:ascii="Times New Roman" w:hAnsi="Times New Roman" w:cs="Times New Roman"/>
              </w:rPr>
            </w:pPr>
            <w:r>
              <w:rPr>
                <w:rFonts w:ascii="Times New Roman" w:hAnsi="Times New Roman" w:cs="Times New Roman"/>
              </w:rPr>
              <w:t>Деятельность в области здравоохранения и социальных услуг</w:t>
            </w:r>
          </w:p>
        </w:tc>
        <w:tc>
          <w:tcPr>
            <w:tcW w:w="1133" w:type="dxa"/>
            <w:tcBorders>
              <w:top w:val="single" w:sz="4" w:space="0" w:color="auto"/>
              <w:left w:val="single" w:sz="4" w:space="0" w:color="auto"/>
              <w:bottom w:val="single" w:sz="4" w:space="0" w:color="auto"/>
              <w:right w:val="single" w:sz="4" w:space="0" w:color="auto"/>
            </w:tcBorders>
            <w:vAlign w:val="bottom"/>
            <w:hideMark/>
          </w:tcPr>
          <w:p w14:paraId="3E12E0D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12,6%</w:t>
            </w:r>
          </w:p>
        </w:tc>
        <w:tc>
          <w:tcPr>
            <w:tcW w:w="986" w:type="dxa"/>
            <w:tcBorders>
              <w:top w:val="single" w:sz="4" w:space="0" w:color="auto"/>
              <w:left w:val="single" w:sz="4" w:space="0" w:color="auto"/>
              <w:bottom w:val="single" w:sz="4" w:space="0" w:color="auto"/>
              <w:right w:val="single" w:sz="4" w:space="0" w:color="auto"/>
            </w:tcBorders>
            <w:vAlign w:val="bottom"/>
            <w:hideMark/>
          </w:tcPr>
          <w:p w14:paraId="75481F85" w14:textId="77777777" w:rsidR="007C32A8" w:rsidRDefault="007C32A8">
            <w:pPr>
              <w:spacing w:line="256" w:lineRule="auto"/>
              <w:jc w:val="both"/>
              <w:rPr>
                <w:rFonts w:ascii="Times New Roman" w:hAnsi="Times New Roman" w:cs="Times New Roman"/>
              </w:rPr>
            </w:pPr>
            <w:r>
              <w:rPr>
                <w:rFonts w:ascii="Times New Roman" w:hAnsi="Times New Roman" w:cs="Times New Roman"/>
              </w:rPr>
              <w:t>13,5%</w:t>
            </w:r>
          </w:p>
        </w:tc>
        <w:tc>
          <w:tcPr>
            <w:tcW w:w="973" w:type="dxa"/>
            <w:tcBorders>
              <w:top w:val="single" w:sz="4" w:space="0" w:color="auto"/>
              <w:left w:val="single" w:sz="4" w:space="0" w:color="auto"/>
              <w:bottom w:val="single" w:sz="4" w:space="0" w:color="auto"/>
              <w:right w:val="single" w:sz="4" w:space="0" w:color="auto"/>
            </w:tcBorders>
            <w:vAlign w:val="bottom"/>
            <w:hideMark/>
          </w:tcPr>
          <w:p w14:paraId="6AEE30D8" w14:textId="77777777" w:rsidR="007C32A8" w:rsidRDefault="007C32A8">
            <w:pPr>
              <w:spacing w:line="256" w:lineRule="auto"/>
              <w:jc w:val="both"/>
              <w:rPr>
                <w:rFonts w:ascii="Times New Roman" w:hAnsi="Times New Roman" w:cs="Times New Roman"/>
              </w:rPr>
            </w:pPr>
            <w:r>
              <w:rPr>
                <w:rFonts w:ascii="Times New Roman" w:hAnsi="Times New Roman" w:cs="Times New Roman"/>
              </w:rPr>
              <w:t>12,5%</w:t>
            </w:r>
          </w:p>
        </w:tc>
        <w:tc>
          <w:tcPr>
            <w:tcW w:w="946" w:type="dxa"/>
            <w:tcBorders>
              <w:top w:val="single" w:sz="4" w:space="0" w:color="auto"/>
              <w:left w:val="single" w:sz="4" w:space="0" w:color="auto"/>
              <w:bottom w:val="single" w:sz="4" w:space="0" w:color="auto"/>
              <w:right w:val="single" w:sz="4" w:space="0" w:color="auto"/>
            </w:tcBorders>
            <w:vAlign w:val="bottom"/>
            <w:hideMark/>
          </w:tcPr>
          <w:p w14:paraId="4ED4AE4D" w14:textId="77777777" w:rsidR="007C32A8" w:rsidRDefault="007C32A8">
            <w:pPr>
              <w:spacing w:line="256" w:lineRule="auto"/>
              <w:jc w:val="both"/>
              <w:rPr>
                <w:rFonts w:ascii="Times New Roman" w:hAnsi="Times New Roman" w:cs="Times New Roman"/>
                <w:b/>
                <w:bCs/>
              </w:rPr>
            </w:pPr>
            <w:r>
              <w:rPr>
                <w:rFonts w:ascii="Times New Roman" w:hAnsi="Times New Roman" w:cs="Times New Roman"/>
                <w:b/>
                <w:bCs/>
              </w:rPr>
              <w:t>7,2%</w:t>
            </w:r>
          </w:p>
        </w:tc>
      </w:tr>
      <w:tr w:rsidR="007C32A8" w14:paraId="2FCD26E4" w14:textId="77777777" w:rsidTr="007C32A8">
        <w:tc>
          <w:tcPr>
            <w:tcW w:w="5867" w:type="dxa"/>
            <w:tcBorders>
              <w:top w:val="single" w:sz="4" w:space="0" w:color="auto"/>
              <w:left w:val="single" w:sz="4" w:space="0" w:color="auto"/>
              <w:bottom w:val="single" w:sz="4" w:space="0" w:color="auto"/>
              <w:right w:val="single" w:sz="4" w:space="0" w:color="auto"/>
            </w:tcBorders>
            <w:vAlign w:val="bottom"/>
            <w:hideMark/>
          </w:tcPr>
          <w:p w14:paraId="4F03FD06" w14:textId="77777777" w:rsidR="007C32A8" w:rsidRDefault="007C32A8">
            <w:pPr>
              <w:spacing w:line="256" w:lineRule="auto"/>
              <w:jc w:val="both"/>
              <w:rPr>
                <w:rFonts w:ascii="Times New Roman" w:hAnsi="Times New Roman" w:cs="Times New Roman"/>
              </w:rPr>
            </w:pPr>
            <w:r>
              <w:rPr>
                <w:rFonts w:ascii="Times New Roman" w:hAnsi="Times New Roman" w:cs="Times New Roman"/>
              </w:rPr>
              <w:t>Прочие услуги</w:t>
            </w:r>
          </w:p>
        </w:tc>
        <w:tc>
          <w:tcPr>
            <w:tcW w:w="1133" w:type="dxa"/>
            <w:tcBorders>
              <w:top w:val="single" w:sz="4" w:space="0" w:color="auto"/>
              <w:left w:val="single" w:sz="4" w:space="0" w:color="auto"/>
              <w:bottom w:val="single" w:sz="4" w:space="0" w:color="auto"/>
              <w:right w:val="single" w:sz="4" w:space="0" w:color="auto"/>
            </w:tcBorders>
            <w:vAlign w:val="bottom"/>
            <w:hideMark/>
          </w:tcPr>
          <w:p w14:paraId="670EB741" w14:textId="77777777" w:rsidR="007C32A8" w:rsidRDefault="007C32A8">
            <w:pPr>
              <w:spacing w:line="256" w:lineRule="auto"/>
              <w:jc w:val="both"/>
              <w:rPr>
                <w:rFonts w:ascii="Times New Roman" w:hAnsi="Times New Roman" w:cs="Times New Roman"/>
              </w:rPr>
            </w:pPr>
            <w:r>
              <w:rPr>
                <w:rFonts w:ascii="Times New Roman" w:hAnsi="Times New Roman" w:cs="Times New Roman"/>
              </w:rPr>
              <w:t>25,6%</w:t>
            </w:r>
          </w:p>
        </w:tc>
        <w:tc>
          <w:tcPr>
            <w:tcW w:w="986" w:type="dxa"/>
            <w:tcBorders>
              <w:top w:val="single" w:sz="4" w:space="0" w:color="auto"/>
              <w:left w:val="single" w:sz="4" w:space="0" w:color="auto"/>
              <w:bottom w:val="single" w:sz="4" w:space="0" w:color="auto"/>
              <w:right w:val="single" w:sz="4" w:space="0" w:color="auto"/>
            </w:tcBorders>
            <w:vAlign w:val="bottom"/>
            <w:hideMark/>
          </w:tcPr>
          <w:p w14:paraId="3A991DEB" w14:textId="77777777" w:rsidR="007C32A8" w:rsidRDefault="007C32A8">
            <w:pPr>
              <w:spacing w:line="256" w:lineRule="auto"/>
              <w:jc w:val="both"/>
              <w:rPr>
                <w:rFonts w:ascii="Times New Roman" w:hAnsi="Times New Roman" w:cs="Times New Roman"/>
              </w:rPr>
            </w:pPr>
            <w:r>
              <w:rPr>
                <w:rFonts w:ascii="Times New Roman" w:hAnsi="Times New Roman" w:cs="Times New Roman"/>
              </w:rPr>
              <w:t>29,1%</w:t>
            </w:r>
          </w:p>
        </w:tc>
        <w:tc>
          <w:tcPr>
            <w:tcW w:w="973" w:type="dxa"/>
            <w:tcBorders>
              <w:top w:val="single" w:sz="4" w:space="0" w:color="auto"/>
              <w:left w:val="single" w:sz="4" w:space="0" w:color="auto"/>
              <w:bottom w:val="single" w:sz="4" w:space="0" w:color="auto"/>
              <w:right w:val="single" w:sz="4" w:space="0" w:color="auto"/>
            </w:tcBorders>
            <w:vAlign w:val="bottom"/>
            <w:hideMark/>
          </w:tcPr>
          <w:p w14:paraId="1F1D8A07" w14:textId="77777777" w:rsidR="007C32A8" w:rsidRDefault="007C32A8">
            <w:pPr>
              <w:spacing w:line="256" w:lineRule="auto"/>
              <w:jc w:val="both"/>
              <w:rPr>
                <w:rFonts w:ascii="Times New Roman" w:hAnsi="Times New Roman" w:cs="Times New Roman"/>
              </w:rPr>
            </w:pPr>
            <w:r>
              <w:rPr>
                <w:rFonts w:ascii="Times New Roman" w:hAnsi="Times New Roman" w:cs="Times New Roman"/>
              </w:rPr>
              <w:t>28,9%</w:t>
            </w:r>
          </w:p>
        </w:tc>
        <w:tc>
          <w:tcPr>
            <w:tcW w:w="946" w:type="dxa"/>
            <w:tcBorders>
              <w:top w:val="single" w:sz="4" w:space="0" w:color="auto"/>
              <w:left w:val="single" w:sz="4" w:space="0" w:color="auto"/>
              <w:bottom w:val="single" w:sz="4" w:space="0" w:color="auto"/>
              <w:right w:val="single" w:sz="4" w:space="0" w:color="auto"/>
            </w:tcBorders>
            <w:vAlign w:val="bottom"/>
            <w:hideMark/>
          </w:tcPr>
          <w:p w14:paraId="4B44F739" w14:textId="77777777" w:rsidR="007C32A8" w:rsidRDefault="007C32A8">
            <w:pPr>
              <w:spacing w:line="256" w:lineRule="auto"/>
              <w:jc w:val="both"/>
              <w:rPr>
                <w:rFonts w:ascii="Times New Roman" w:hAnsi="Times New Roman" w:cs="Times New Roman"/>
              </w:rPr>
            </w:pPr>
            <w:r>
              <w:rPr>
                <w:rFonts w:ascii="Times New Roman" w:hAnsi="Times New Roman" w:cs="Times New Roman"/>
              </w:rPr>
              <w:t>10,1%</w:t>
            </w:r>
          </w:p>
        </w:tc>
      </w:tr>
    </w:tbl>
    <w:p w14:paraId="6C59C2DB" w14:textId="77777777" w:rsidR="007C32A8" w:rsidRPr="007C32A8" w:rsidRDefault="007C32A8" w:rsidP="007C32A8">
      <w:pPr>
        <w:ind w:firstLine="567"/>
        <w:jc w:val="both"/>
        <w:rPr>
          <w:rFonts w:ascii="Times New Roman" w:hAnsi="Times New Roman" w:cs="Times New Roman"/>
          <w:i/>
        </w:rPr>
      </w:pPr>
      <w:r w:rsidRPr="007C32A8">
        <w:rPr>
          <w:rFonts w:ascii="Times New Roman" w:hAnsi="Times New Roman" w:cs="Times New Roman"/>
          <w:i/>
        </w:rPr>
        <w:t>Источник: база данных WIOD, расчеты автора.</w:t>
      </w:r>
    </w:p>
    <w:p w14:paraId="4A953715" w14:textId="77777777" w:rsidR="007C32A8" w:rsidRPr="007C32A8" w:rsidRDefault="007C32A8" w:rsidP="007C32A8">
      <w:pPr>
        <w:spacing w:before="240"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Сложившаяся структура производства и занятости ограничивает рост производительности труда не только в сфере услуг, но и в реальном секторе. Например, в сельском хозяйстве занята относительно большая часть населения, чем в развитых странах, таким образом, первым претендентом на сокращение занятости и рост производительности труда можно считать этот сектор экономики. </w:t>
      </w:r>
    </w:p>
    <w:p w14:paraId="596EED48" w14:textId="77777777" w:rsidR="007C32A8" w:rsidRPr="007C32A8" w:rsidRDefault="007C32A8" w:rsidP="007C32A8">
      <w:pPr>
        <w:spacing w:before="240" w:line="360" w:lineRule="auto"/>
        <w:ind w:firstLine="567"/>
        <w:jc w:val="both"/>
        <w:rPr>
          <w:rFonts w:ascii="Helvetica" w:eastAsia="Times New Roman" w:hAnsi="Helvetica" w:cs="Times New Roman"/>
          <w:color w:val="333333"/>
          <w:sz w:val="23"/>
          <w:szCs w:val="23"/>
          <w:lang w:eastAsia="ru-RU"/>
        </w:rPr>
      </w:pPr>
      <w:r w:rsidRPr="007C32A8">
        <w:rPr>
          <w:rFonts w:ascii="Times New Roman" w:hAnsi="Times New Roman" w:cs="Times New Roman"/>
          <w:sz w:val="28"/>
          <w:szCs w:val="28"/>
        </w:rPr>
        <w:t xml:space="preserve">Доля занятых в остальных видах деятельности реального сектора примерно соответствует уровню развитых стран, однако внутри отраслей процесс организации производства и разделения труда до сих пор недостаточно эффективен. В большинстве видов деятельности не реализован потенциал разделения и организации труда. Достаточно сказать, что доля </w:t>
      </w:r>
      <w:r w:rsidRPr="007C32A8">
        <w:rPr>
          <w:rFonts w:asciiTheme="majorBidi" w:hAnsiTheme="majorBidi" w:cstheme="majorBidi"/>
          <w:sz w:val="28"/>
          <w:szCs w:val="28"/>
        </w:rPr>
        <w:t xml:space="preserve">населения, занятого низкоквалифицированным и низко оплачиваемым трудом, в России составляет около 25%. В определенной степени малоквалифицированную рабочую силу можно считать «массовым» ресурсом, то есть дешевым, доступным, но дающим низкую отдачу. Низкая механизация (автоматизация) труда, недостаточно эффективная организационная составляющая производственного процесса, архаичная структура распределения труда и производства приводит к ограничениям роста производительности труда. </w:t>
      </w:r>
    </w:p>
    <w:p w14:paraId="0F91B608" w14:textId="5DA8A3B9"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В таблице 5.</w:t>
      </w:r>
      <w:r w:rsidR="00351D97">
        <w:rPr>
          <w:rFonts w:ascii="Times New Roman" w:hAnsi="Times New Roman" w:cs="Times New Roman"/>
          <w:sz w:val="28"/>
          <w:szCs w:val="28"/>
        </w:rPr>
        <w:t>5</w:t>
      </w:r>
      <w:r w:rsidRPr="007C32A8">
        <w:rPr>
          <w:rFonts w:ascii="Times New Roman" w:hAnsi="Times New Roman" w:cs="Times New Roman"/>
          <w:sz w:val="28"/>
          <w:szCs w:val="28"/>
        </w:rPr>
        <w:t xml:space="preserve"> приведен анализ структурных составляющих показателей эффективности использования труда, который позволяет обнаружить дополнительные резервы роста производительности труда и понять значимость количественного увеличения производства. </w:t>
      </w:r>
    </w:p>
    <w:p w14:paraId="64010056" w14:textId="24D8C5FB" w:rsidR="007C32A8" w:rsidRPr="007C32A8" w:rsidRDefault="007C32A8" w:rsidP="007C32A8">
      <w:pPr>
        <w:ind w:firstLine="567"/>
        <w:jc w:val="center"/>
        <w:rPr>
          <w:rFonts w:ascii="Times New Roman" w:hAnsi="Times New Roman" w:cs="Times New Roman"/>
          <w:sz w:val="28"/>
          <w:szCs w:val="28"/>
        </w:rPr>
      </w:pPr>
      <w:r w:rsidRPr="007C32A8">
        <w:rPr>
          <w:rFonts w:ascii="Times New Roman" w:hAnsi="Times New Roman" w:cs="Times New Roman"/>
          <w:sz w:val="28"/>
          <w:szCs w:val="28"/>
        </w:rPr>
        <w:t>Таблица 5.</w:t>
      </w:r>
      <w:r w:rsidR="00351D97">
        <w:rPr>
          <w:rFonts w:ascii="Times New Roman" w:hAnsi="Times New Roman" w:cs="Times New Roman"/>
          <w:sz w:val="28"/>
          <w:szCs w:val="28"/>
        </w:rPr>
        <w:t>5</w:t>
      </w:r>
      <w:r w:rsidRPr="007C32A8">
        <w:rPr>
          <w:rFonts w:ascii="Times New Roman" w:hAnsi="Times New Roman" w:cs="Times New Roman"/>
          <w:sz w:val="28"/>
          <w:szCs w:val="28"/>
        </w:rPr>
        <w:t xml:space="preserve">. Динамика численности занятых и производительности труда в отдельных секторах экономики Росси в </w:t>
      </w:r>
      <w:proofErr w:type="gramStart"/>
      <w:r w:rsidRPr="007C32A8">
        <w:rPr>
          <w:rFonts w:ascii="Times New Roman" w:hAnsi="Times New Roman" w:cs="Times New Roman"/>
          <w:sz w:val="28"/>
          <w:szCs w:val="28"/>
        </w:rPr>
        <w:t>2009-2017</w:t>
      </w:r>
      <w:proofErr w:type="gramEnd"/>
      <w:r w:rsidRPr="007C32A8">
        <w:rPr>
          <w:rFonts w:ascii="Times New Roman" w:hAnsi="Times New Roman" w:cs="Times New Roman"/>
          <w:sz w:val="28"/>
          <w:szCs w:val="28"/>
        </w:rPr>
        <w:t xml:space="preserve"> гг.</w:t>
      </w:r>
    </w:p>
    <w:tbl>
      <w:tblPr>
        <w:tblW w:w="0" w:type="auto"/>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2"/>
        <w:gridCol w:w="1530"/>
        <w:gridCol w:w="1843"/>
        <w:gridCol w:w="1276"/>
        <w:gridCol w:w="1417"/>
      </w:tblGrid>
      <w:tr w:rsidR="007C32A8" w14:paraId="2C058D7A" w14:textId="77777777" w:rsidTr="007C32A8">
        <w:tc>
          <w:tcPr>
            <w:tcW w:w="3412" w:type="dxa"/>
            <w:tcBorders>
              <w:top w:val="single" w:sz="4" w:space="0" w:color="auto"/>
              <w:left w:val="single" w:sz="4" w:space="0" w:color="auto"/>
              <w:bottom w:val="single" w:sz="4" w:space="0" w:color="auto"/>
              <w:right w:val="single" w:sz="4" w:space="0" w:color="auto"/>
            </w:tcBorders>
          </w:tcPr>
          <w:p w14:paraId="1576BC43" w14:textId="77777777" w:rsidR="007C32A8" w:rsidRDefault="007C32A8">
            <w:pPr>
              <w:spacing w:line="256" w:lineRule="auto"/>
              <w:ind w:firstLine="15"/>
              <w:jc w:val="both"/>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vAlign w:val="bottom"/>
            <w:hideMark/>
          </w:tcPr>
          <w:p w14:paraId="072101B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Доля в суммарной величине занятых, %</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84BF69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 xml:space="preserve">Среднегодовой темп прироста пр. труда, </w:t>
            </w:r>
            <w:proofErr w:type="gramStart"/>
            <w:r>
              <w:rPr>
                <w:rFonts w:ascii="Times New Roman" w:hAnsi="Times New Roman" w:cs="Times New Roman"/>
                <w:szCs w:val="24"/>
              </w:rPr>
              <w:t>2009-2017</w:t>
            </w:r>
            <w:proofErr w:type="gramEnd"/>
            <w:r>
              <w:rPr>
                <w:rFonts w:ascii="Times New Roman" w:hAnsi="Times New Roman" w:cs="Times New Roman"/>
                <w:szCs w:val="24"/>
              </w:rPr>
              <w:t xml:space="preserve"> гг., %</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53EE2C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 труда в 2017 г. (</w:t>
            </w:r>
            <w:proofErr w:type="spellStart"/>
            <w:r>
              <w:rPr>
                <w:rFonts w:ascii="Times New Roman" w:hAnsi="Times New Roman" w:cs="Times New Roman"/>
                <w:szCs w:val="24"/>
              </w:rPr>
              <w:t>тыс.руб</w:t>
            </w:r>
            <w:proofErr w:type="spellEnd"/>
            <w:r>
              <w:rPr>
                <w:rFonts w:ascii="Times New Roman" w:hAnsi="Times New Roman" w:cs="Times New Roman"/>
                <w:szCs w:val="24"/>
              </w:rPr>
              <w:t>./чел)</w:t>
            </w:r>
          </w:p>
        </w:tc>
        <w:tc>
          <w:tcPr>
            <w:tcW w:w="1417" w:type="dxa"/>
            <w:tcBorders>
              <w:top w:val="single" w:sz="4" w:space="0" w:color="auto"/>
              <w:left w:val="single" w:sz="4" w:space="0" w:color="auto"/>
              <w:bottom w:val="single" w:sz="4" w:space="0" w:color="auto"/>
              <w:right w:val="single" w:sz="4" w:space="0" w:color="auto"/>
            </w:tcBorders>
            <w:vAlign w:val="bottom"/>
            <w:hideMark/>
          </w:tcPr>
          <w:p w14:paraId="488EDEC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 труда, % от средней по экономике</w:t>
            </w:r>
          </w:p>
        </w:tc>
      </w:tr>
      <w:tr w:rsidR="007C32A8" w14:paraId="6EDABCF9" w14:textId="77777777" w:rsidTr="007C32A8">
        <w:tc>
          <w:tcPr>
            <w:tcW w:w="9478" w:type="dxa"/>
            <w:gridSpan w:val="5"/>
            <w:tcBorders>
              <w:top w:val="single" w:sz="4" w:space="0" w:color="auto"/>
              <w:left w:val="single" w:sz="4" w:space="0" w:color="auto"/>
              <w:bottom w:val="single" w:sz="4" w:space="0" w:color="auto"/>
              <w:right w:val="single" w:sz="4" w:space="0" w:color="auto"/>
            </w:tcBorders>
            <w:vAlign w:val="bottom"/>
            <w:hideMark/>
          </w:tcPr>
          <w:p w14:paraId="6C114D98" w14:textId="77777777" w:rsidR="007C32A8" w:rsidRDefault="007C32A8">
            <w:pPr>
              <w:spacing w:line="256" w:lineRule="auto"/>
              <w:ind w:firstLine="15"/>
              <w:jc w:val="both"/>
              <w:rPr>
                <w:rFonts w:ascii="Times New Roman" w:hAnsi="Times New Roman" w:cs="Times New Roman"/>
                <w:b/>
                <w:bCs/>
                <w:szCs w:val="24"/>
              </w:rPr>
            </w:pPr>
            <w:r>
              <w:rPr>
                <w:rFonts w:ascii="Times New Roman" w:hAnsi="Times New Roman" w:cs="Times New Roman"/>
                <w:b/>
                <w:bCs/>
                <w:szCs w:val="24"/>
              </w:rPr>
              <w:t xml:space="preserve">Быстрый рост производительности труда* </w:t>
            </w:r>
          </w:p>
        </w:tc>
      </w:tr>
      <w:tr w:rsidR="007C32A8" w14:paraId="74F025F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589086E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Сельское и лесное хозяйство, охота и рыболовство</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B9536A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65E3E2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4,98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82E1F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898,91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0248AD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71</w:t>
            </w:r>
          </w:p>
        </w:tc>
      </w:tr>
      <w:tr w:rsidR="007C32A8" w14:paraId="35EE2DC7"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3BED3AD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Добыча угля</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6F80AB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C03E4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6,48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E216F20"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4142,96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B0EFD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330</w:t>
            </w:r>
          </w:p>
        </w:tc>
      </w:tr>
      <w:tr w:rsidR="007C32A8" w14:paraId="56969A02"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0D5EEBE2"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Пищевая промышленность</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D8C069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6496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2,95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9B50E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2540,55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7CAA1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202</w:t>
            </w:r>
          </w:p>
        </w:tc>
      </w:tr>
      <w:tr w:rsidR="007C32A8" w14:paraId="1FEA5825"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6A9F349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 xml:space="preserve">Текстильное и швейное производство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8B153F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5EF96D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2,13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37A2A5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630,45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B737F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50</w:t>
            </w:r>
          </w:p>
        </w:tc>
      </w:tr>
      <w:tr w:rsidR="007C32A8" w14:paraId="67F095F7"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7C44485F"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Обработка древесины и производство изделий из дерева</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29968E9"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5A8AF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692C54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1257,26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A8206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100</w:t>
            </w:r>
          </w:p>
        </w:tc>
      </w:tr>
      <w:tr w:rsidR="007C32A8" w14:paraId="3CE693B7"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13B6108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Химическое производство</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AA5D9A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79C7D4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7E751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4366,25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5FCA7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347</w:t>
            </w:r>
          </w:p>
        </w:tc>
      </w:tr>
      <w:tr w:rsidR="007C32A8" w14:paraId="4F65B6D1"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74BDA9B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Фармацевтика</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24FAA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B151A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7,81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96643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2861,72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8F3EB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228</w:t>
            </w:r>
          </w:p>
        </w:tc>
      </w:tr>
      <w:tr w:rsidR="007C32A8" w14:paraId="251D2FED"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0C233C9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резиновых и пластиковых изделий</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ED7CCA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D25F0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4,87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C93A8B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2372,85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7BD52C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189</w:t>
            </w:r>
          </w:p>
        </w:tc>
      </w:tr>
      <w:tr w:rsidR="007C32A8" w14:paraId="346BA095"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6BC4613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транспортных средств и оборудования</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7D1D40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BF8C4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9,97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A7525B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4393,14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34674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349</w:t>
            </w:r>
          </w:p>
        </w:tc>
      </w:tr>
      <w:tr w:rsidR="007C32A8" w14:paraId="6F701B41"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1FFC430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железнодорожного транспорта и транспортного оборудования</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A447A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85D788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6,67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E6C3D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1620,45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F3EA4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129</w:t>
            </w:r>
          </w:p>
        </w:tc>
      </w:tr>
      <w:tr w:rsidR="007C32A8" w14:paraId="2A8FF73E"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3AD28EE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Финансы и страхование</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AC17C0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BC0DEC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2,61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2F734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2433,03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653AD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194</w:t>
            </w:r>
          </w:p>
        </w:tc>
      </w:tr>
      <w:tr w:rsidR="007C32A8" w14:paraId="38F5E38D" w14:textId="77777777" w:rsidTr="007C32A8">
        <w:tc>
          <w:tcPr>
            <w:tcW w:w="9478" w:type="dxa"/>
            <w:gridSpan w:val="5"/>
            <w:tcBorders>
              <w:top w:val="single" w:sz="4" w:space="0" w:color="auto"/>
              <w:left w:val="single" w:sz="4" w:space="0" w:color="auto"/>
              <w:bottom w:val="single" w:sz="4" w:space="0" w:color="auto"/>
              <w:right w:val="single" w:sz="4" w:space="0" w:color="auto"/>
            </w:tcBorders>
            <w:vAlign w:val="bottom"/>
            <w:hideMark/>
          </w:tcPr>
          <w:p w14:paraId="700CDFE2"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b/>
                <w:bCs/>
                <w:szCs w:val="24"/>
              </w:rPr>
              <w:t>Медленный рост производительности труда</w:t>
            </w:r>
          </w:p>
        </w:tc>
      </w:tr>
      <w:tr w:rsidR="007C32A8" w14:paraId="6D40307A"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4C277B3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и распределение электроэнергии, газа и воды</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1AE51B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7816219"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-0,80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99D2EA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2080,66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E1380C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165</w:t>
            </w:r>
          </w:p>
        </w:tc>
      </w:tr>
      <w:tr w:rsidR="007C32A8" w14:paraId="6350808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52909E8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Строительство</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11E4B3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8,8</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238D40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-1,37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92ACFD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887,89</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A74F10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71</w:t>
            </w:r>
          </w:p>
        </w:tc>
      </w:tr>
      <w:tr w:rsidR="007C32A8" w14:paraId="716717C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225F77B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Оптовая и розничная торговля, ремонт</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381461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18,4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16A64D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-1,24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9ABD52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901,10</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01C86A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72</w:t>
            </w:r>
          </w:p>
        </w:tc>
      </w:tr>
      <w:tr w:rsidR="007C32A8" w14:paraId="0DEB5CA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1B07F5F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Гостиницы и рестораны</w:t>
            </w:r>
          </w:p>
        </w:tc>
        <w:tc>
          <w:tcPr>
            <w:tcW w:w="1530" w:type="dxa"/>
            <w:tcBorders>
              <w:top w:val="single" w:sz="4" w:space="0" w:color="auto"/>
              <w:left w:val="single" w:sz="4" w:space="0" w:color="auto"/>
              <w:bottom w:val="single" w:sz="4" w:space="0" w:color="auto"/>
              <w:right w:val="single" w:sz="4" w:space="0" w:color="auto"/>
            </w:tcBorders>
            <w:vAlign w:val="bottom"/>
            <w:hideMark/>
          </w:tcPr>
          <w:p w14:paraId="1B7432C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2,1</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3CD4759"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-1,60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537049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583,36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AB8C85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46</w:t>
            </w:r>
          </w:p>
        </w:tc>
      </w:tr>
      <w:tr w:rsidR="007C32A8" w14:paraId="3D90F5C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194DFD0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 xml:space="preserve">Транспортировка и хранение </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FF0121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6,7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7F3BAF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0,27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7C57E300"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1335,43</w:t>
            </w:r>
          </w:p>
        </w:tc>
        <w:tc>
          <w:tcPr>
            <w:tcW w:w="1417" w:type="dxa"/>
            <w:tcBorders>
              <w:top w:val="single" w:sz="4" w:space="0" w:color="auto"/>
              <w:left w:val="single" w:sz="4" w:space="0" w:color="auto"/>
              <w:bottom w:val="single" w:sz="4" w:space="0" w:color="auto"/>
              <w:right w:val="single" w:sz="4" w:space="0" w:color="auto"/>
            </w:tcBorders>
            <w:vAlign w:val="bottom"/>
            <w:hideMark/>
          </w:tcPr>
          <w:p w14:paraId="52AC7853"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106</w:t>
            </w:r>
          </w:p>
        </w:tc>
      </w:tr>
      <w:tr w:rsidR="007C32A8" w14:paraId="16865CEC"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7D317CC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Другие предпринимательские услуги</w:t>
            </w:r>
          </w:p>
        </w:tc>
        <w:tc>
          <w:tcPr>
            <w:tcW w:w="1530" w:type="dxa"/>
            <w:tcBorders>
              <w:top w:val="single" w:sz="4" w:space="0" w:color="auto"/>
              <w:left w:val="single" w:sz="4" w:space="0" w:color="auto"/>
              <w:bottom w:val="single" w:sz="4" w:space="0" w:color="auto"/>
              <w:right w:val="single" w:sz="4" w:space="0" w:color="auto"/>
            </w:tcBorders>
            <w:vAlign w:val="bottom"/>
            <w:hideMark/>
          </w:tcPr>
          <w:p w14:paraId="6E8DB670"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4D9CCB2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-0,67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32AFA6E"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905,62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72D5FE3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72</w:t>
            </w:r>
          </w:p>
        </w:tc>
      </w:tr>
      <w:tr w:rsidR="007C32A8" w14:paraId="24B412CF"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3BA79497"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Государственное управление, оборона и обязательное социальное страхование</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6FC29F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5,3</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2E1C829"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1,04</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AC89CE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1351,38</w:t>
            </w:r>
          </w:p>
        </w:tc>
        <w:tc>
          <w:tcPr>
            <w:tcW w:w="1417" w:type="dxa"/>
            <w:tcBorders>
              <w:top w:val="single" w:sz="4" w:space="0" w:color="auto"/>
              <w:left w:val="single" w:sz="4" w:space="0" w:color="auto"/>
              <w:bottom w:val="single" w:sz="4" w:space="0" w:color="auto"/>
              <w:right w:val="single" w:sz="4" w:space="0" w:color="auto"/>
            </w:tcBorders>
            <w:vAlign w:val="bottom"/>
            <w:hideMark/>
          </w:tcPr>
          <w:p w14:paraId="1D38BCE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107</w:t>
            </w:r>
          </w:p>
        </w:tc>
      </w:tr>
      <w:tr w:rsidR="007C32A8" w14:paraId="56BCA924"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2B4252B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 xml:space="preserve">Образование </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A6BDCD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8,0</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7042450"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-0,05</w:t>
            </w:r>
          </w:p>
        </w:tc>
        <w:tc>
          <w:tcPr>
            <w:tcW w:w="1276" w:type="dxa"/>
            <w:tcBorders>
              <w:top w:val="single" w:sz="4" w:space="0" w:color="auto"/>
              <w:left w:val="single" w:sz="4" w:space="0" w:color="auto"/>
              <w:bottom w:val="single" w:sz="4" w:space="0" w:color="auto"/>
              <w:right w:val="single" w:sz="4" w:space="0" w:color="auto"/>
            </w:tcBorders>
            <w:vAlign w:val="bottom"/>
            <w:hideMark/>
          </w:tcPr>
          <w:p w14:paraId="44F1BC5F"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284,92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8D461E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23</w:t>
            </w:r>
          </w:p>
        </w:tc>
      </w:tr>
      <w:tr w:rsidR="007C32A8" w14:paraId="7257F740"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1EB1BC32"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Здравоохранение</w:t>
            </w:r>
          </w:p>
        </w:tc>
        <w:tc>
          <w:tcPr>
            <w:tcW w:w="1530" w:type="dxa"/>
            <w:tcBorders>
              <w:top w:val="single" w:sz="4" w:space="0" w:color="auto"/>
              <w:left w:val="single" w:sz="4" w:space="0" w:color="auto"/>
              <w:bottom w:val="single" w:sz="4" w:space="0" w:color="auto"/>
              <w:right w:val="single" w:sz="4" w:space="0" w:color="auto"/>
            </w:tcBorders>
            <w:vAlign w:val="bottom"/>
            <w:hideMark/>
          </w:tcPr>
          <w:p w14:paraId="238D962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6,5</w:t>
            </w:r>
          </w:p>
        </w:tc>
        <w:tc>
          <w:tcPr>
            <w:tcW w:w="1843" w:type="dxa"/>
            <w:tcBorders>
              <w:top w:val="single" w:sz="4" w:space="0" w:color="auto"/>
              <w:left w:val="single" w:sz="4" w:space="0" w:color="auto"/>
              <w:bottom w:val="single" w:sz="4" w:space="0" w:color="auto"/>
              <w:right w:val="single" w:sz="4" w:space="0" w:color="auto"/>
            </w:tcBorders>
            <w:vAlign w:val="bottom"/>
            <w:hideMark/>
          </w:tcPr>
          <w:p w14:paraId="09C5C3F7"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0,70</w:t>
            </w:r>
          </w:p>
        </w:tc>
        <w:tc>
          <w:tcPr>
            <w:tcW w:w="1276" w:type="dxa"/>
            <w:tcBorders>
              <w:top w:val="single" w:sz="4" w:space="0" w:color="auto"/>
              <w:left w:val="single" w:sz="4" w:space="0" w:color="auto"/>
              <w:bottom w:val="single" w:sz="4" w:space="0" w:color="auto"/>
              <w:right w:val="single" w:sz="4" w:space="0" w:color="auto"/>
            </w:tcBorders>
            <w:vAlign w:val="bottom"/>
            <w:hideMark/>
          </w:tcPr>
          <w:p w14:paraId="02FB88E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539,45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06BF421D"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43</w:t>
            </w:r>
          </w:p>
        </w:tc>
      </w:tr>
      <w:tr w:rsidR="007C32A8" w14:paraId="3C400200"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33B5433C"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Другие общественные, социальные и частные услуги</w:t>
            </w:r>
          </w:p>
        </w:tc>
        <w:tc>
          <w:tcPr>
            <w:tcW w:w="1530" w:type="dxa"/>
            <w:tcBorders>
              <w:top w:val="single" w:sz="4" w:space="0" w:color="auto"/>
              <w:left w:val="single" w:sz="4" w:space="0" w:color="auto"/>
              <w:bottom w:val="single" w:sz="4" w:space="0" w:color="auto"/>
              <w:right w:val="single" w:sz="4" w:space="0" w:color="auto"/>
            </w:tcBorders>
            <w:vAlign w:val="bottom"/>
            <w:hideMark/>
          </w:tcPr>
          <w:p w14:paraId="4BE11C3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4,4</w:t>
            </w:r>
          </w:p>
        </w:tc>
        <w:tc>
          <w:tcPr>
            <w:tcW w:w="1843" w:type="dxa"/>
            <w:tcBorders>
              <w:top w:val="single" w:sz="4" w:space="0" w:color="auto"/>
              <w:left w:val="single" w:sz="4" w:space="0" w:color="auto"/>
              <w:bottom w:val="single" w:sz="4" w:space="0" w:color="auto"/>
              <w:right w:val="single" w:sz="4" w:space="0" w:color="auto"/>
            </w:tcBorders>
            <w:vAlign w:val="bottom"/>
            <w:hideMark/>
          </w:tcPr>
          <w:p w14:paraId="1603D4B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-1,87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2C03C0C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422,01</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7066AE8"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34</w:t>
            </w:r>
          </w:p>
        </w:tc>
      </w:tr>
      <w:tr w:rsidR="007C32A8" w14:paraId="4900ED62"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7E998AE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металлических продуктов, за исключением машин и оборудования</w:t>
            </w:r>
          </w:p>
        </w:tc>
        <w:tc>
          <w:tcPr>
            <w:tcW w:w="1530" w:type="dxa"/>
            <w:tcBorders>
              <w:top w:val="single" w:sz="4" w:space="0" w:color="auto"/>
              <w:left w:val="single" w:sz="4" w:space="0" w:color="auto"/>
              <w:bottom w:val="single" w:sz="4" w:space="0" w:color="auto"/>
              <w:right w:val="single" w:sz="4" w:space="0" w:color="auto"/>
            </w:tcBorders>
            <w:vAlign w:val="bottom"/>
            <w:hideMark/>
          </w:tcPr>
          <w:p w14:paraId="6373602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1,0</w:t>
            </w:r>
          </w:p>
        </w:tc>
        <w:tc>
          <w:tcPr>
            <w:tcW w:w="1843" w:type="dxa"/>
            <w:tcBorders>
              <w:top w:val="single" w:sz="4" w:space="0" w:color="auto"/>
              <w:left w:val="single" w:sz="4" w:space="0" w:color="auto"/>
              <w:bottom w:val="single" w:sz="4" w:space="0" w:color="auto"/>
              <w:right w:val="single" w:sz="4" w:space="0" w:color="auto"/>
            </w:tcBorders>
            <w:vAlign w:val="bottom"/>
            <w:hideMark/>
          </w:tcPr>
          <w:p w14:paraId="5C3D22C4"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0,76</w:t>
            </w:r>
          </w:p>
        </w:tc>
        <w:tc>
          <w:tcPr>
            <w:tcW w:w="1276" w:type="dxa"/>
            <w:tcBorders>
              <w:top w:val="single" w:sz="4" w:space="0" w:color="auto"/>
              <w:left w:val="single" w:sz="4" w:space="0" w:color="auto"/>
              <w:bottom w:val="single" w:sz="4" w:space="0" w:color="auto"/>
              <w:right w:val="single" w:sz="4" w:space="0" w:color="auto"/>
            </w:tcBorders>
            <w:vAlign w:val="bottom"/>
            <w:hideMark/>
          </w:tcPr>
          <w:p w14:paraId="306BAE8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944,96</w:t>
            </w:r>
          </w:p>
        </w:tc>
        <w:tc>
          <w:tcPr>
            <w:tcW w:w="1417" w:type="dxa"/>
            <w:tcBorders>
              <w:top w:val="single" w:sz="4" w:space="0" w:color="auto"/>
              <w:left w:val="single" w:sz="4" w:space="0" w:color="auto"/>
              <w:bottom w:val="single" w:sz="4" w:space="0" w:color="auto"/>
              <w:right w:val="single" w:sz="4" w:space="0" w:color="auto"/>
            </w:tcBorders>
            <w:vAlign w:val="bottom"/>
            <w:hideMark/>
          </w:tcPr>
          <w:p w14:paraId="2E13CF35"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75</w:t>
            </w:r>
          </w:p>
        </w:tc>
      </w:tr>
      <w:tr w:rsidR="007C32A8" w14:paraId="06C3F626"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439FAD3B"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Производство машин и оборудования</w:t>
            </w:r>
          </w:p>
        </w:tc>
        <w:tc>
          <w:tcPr>
            <w:tcW w:w="1530" w:type="dxa"/>
            <w:tcBorders>
              <w:top w:val="single" w:sz="4" w:space="0" w:color="auto"/>
              <w:left w:val="single" w:sz="4" w:space="0" w:color="auto"/>
              <w:bottom w:val="single" w:sz="4" w:space="0" w:color="auto"/>
              <w:right w:val="single" w:sz="4" w:space="0" w:color="auto"/>
            </w:tcBorders>
            <w:vAlign w:val="bottom"/>
            <w:hideMark/>
          </w:tcPr>
          <w:p w14:paraId="5FC58819"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1,7</w:t>
            </w:r>
          </w:p>
        </w:tc>
        <w:tc>
          <w:tcPr>
            <w:tcW w:w="1843" w:type="dxa"/>
            <w:tcBorders>
              <w:top w:val="single" w:sz="4" w:space="0" w:color="auto"/>
              <w:left w:val="single" w:sz="4" w:space="0" w:color="auto"/>
              <w:bottom w:val="single" w:sz="4" w:space="0" w:color="auto"/>
              <w:right w:val="single" w:sz="4" w:space="0" w:color="auto"/>
            </w:tcBorders>
            <w:vAlign w:val="bottom"/>
            <w:hideMark/>
          </w:tcPr>
          <w:p w14:paraId="380314DA"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-2,37</w:t>
            </w:r>
          </w:p>
        </w:tc>
        <w:tc>
          <w:tcPr>
            <w:tcW w:w="1276" w:type="dxa"/>
            <w:tcBorders>
              <w:top w:val="single" w:sz="4" w:space="0" w:color="auto"/>
              <w:left w:val="single" w:sz="4" w:space="0" w:color="auto"/>
              <w:bottom w:val="single" w:sz="4" w:space="0" w:color="auto"/>
              <w:right w:val="single" w:sz="4" w:space="0" w:color="auto"/>
            </w:tcBorders>
            <w:vAlign w:val="bottom"/>
            <w:hideMark/>
          </w:tcPr>
          <w:p w14:paraId="6943CD01"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887,72</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91C8916" w14:textId="77777777" w:rsidR="007C32A8" w:rsidRDefault="007C32A8">
            <w:pPr>
              <w:spacing w:line="256" w:lineRule="auto"/>
              <w:ind w:firstLine="15"/>
              <w:jc w:val="both"/>
              <w:rPr>
                <w:rFonts w:ascii="Times New Roman" w:hAnsi="Times New Roman" w:cs="Times New Roman"/>
                <w:szCs w:val="24"/>
              </w:rPr>
            </w:pPr>
            <w:r>
              <w:rPr>
                <w:rFonts w:ascii="Times New Roman" w:hAnsi="Times New Roman" w:cs="Times New Roman"/>
                <w:szCs w:val="24"/>
              </w:rPr>
              <w:t>71</w:t>
            </w:r>
          </w:p>
        </w:tc>
      </w:tr>
      <w:tr w:rsidR="007C32A8" w14:paraId="59A8755F" w14:textId="77777777" w:rsidTr="007C32A8">
        <w:tc>
          <w:tcPr>
            <w:tcW w:w="3412" w:type="dxa"/>
            <w:tcBorders>
              <w:top w:val="single" w:sz="4" w:space="0" w:color="auto"/>
              <w:left w:val="single" w:sz="4" w:space="0" w:color="auto"/>
              <w:bottom w:val="single" w:sz="4" w:space="0" w:color="auto"/>
              <w:right w:val="single" w:sz="4" w:space="0" w:color="auto"/>
            </w:tcBorders>
            <w:vAlign w:val="bottom"/>
            <w:hideMark/>
          </w:tcPr>
          <w:p w14:paraId="26C6CB86" w14:textId="77777777" w:rsidR="007C32A8" w:rsidRDefault="007C32A8">
            <w:pPr>
              <w:spacing w:line="256" w:lineRule="auto"/>
              <w:ind w:firstLine="15"/>
              <w:jc w:val="both"/>
              <w:rPr>
                <w:rFonts w:ascii="Times New Roman" w:hAnsi="Times New Roman" w:cs="Times New Roman"/>
                <w:b/>
                <w:szCs w:val="24"/>
              </w:rPr>
            </w:pPr>
            <w:r>
              <w:rPr>
                <w:rFonts w:ascii="Times New Roman" w:hAnsi="Times New Roman" w:cs="Times New Roman"/>
                <w:b/>
                <w:szCs w:val="24"/>
              </w:rPr>
              <w:t>ВСЕГО</w:t>
            </w:r>
          </w:p>
        </w:tc>
        <w:tc>
          <w:tcPr>
            <w:tcW w:w="1530" w:type="dxa"/>
            <w:tcBorders>
              <w:top w:val="single" w:sz="4" w:space="0" w:color="auto"/>
              <w:left w:val="single" w:sz="4" w:space="0" w:color="auto"/>
              <w:bottom w:val="single" w:sz="4" w:space="0" w:color="auto"/>
              <w:right w:val="single" w:sz="4" w:space="0" w:color="auto"/>
            </w:tcBorders>
            <w:vAlign w:val="bottom"/>
          </w:tcPr>
          <w:p w14:paraId="337AA49A" w14:textId="77777777" w:rsidR="007C32A8" w:rsidRDefault="007C32A8">
            <w:pPr>
              <w:spacing w:line="256" w:lineRule="auto"/>
              <w:ind w:firstLine="15"/>
              <w:jc w:val="both"/>
              <w:rPr>
                <w:rFonts w:ascii="Times New Roman" w:hAnsi="Times New Roman" w:cs="Times New Roman"/>
                <w:b/>
                <w:szCs w:val="24"/>
              </w:rPr>
            </w:pPr>
          </w:p>
        </w:tc>
        <w:tc>
          <w:tcPr>
            <w:tcW w:w="1843" w:type="dxa"/>
            <w:tcBorders>
              <w:top w:val="single" w:sz="4" w:space="0" w:color="auto"/>
              <w:left w:val="single" w:sz="4" w:space="0" w:color="auto"/>
              <w:bottom w:val="single" w:sz="4" w:space="0" w:color="auto"/>
              <w:right w:val="single" w:sz="4" w:space="0" w:color="auto"/>
            </w:tcBorders>
            <w:vAlign w:val="bottom"/>
            <w:hideMark/>
          </w:tcPr>
          <w:p w14:paraId="03098862" w14:textId="77777777" w:rsidR="007C32A8" w:rsidRDefault="007C32A8">
            <w:pPr>
              <w:spacing w:line="256" w:lineRule="auto"/>
              <w:ind w:firstLine="15"/>
              <w:jc w:val="both"/>
              <w:rPr>
                <w:rFonts w:ascii="Times New Roman" w:hAnsi="Times New Roman" w:cs="Times New Roman"/>
                <w:b/>
                <w:szCs w:val="24"/>
              </w:rPr>
            </w:pPr>
            <w:r>
              <w:rPr>
                <w:rFonts w:ascii="Times New Roman" w:hAnsi="Times New Roman" w:cs="Times New Roman"/>
                <w:b/>
                <w:szCs w:val="24"/>
              </w:rPr>
              <w:t>0,78</w:t>
            </w:r>
          </w:p>
        </w:tc>
        <w:tc>
          <w:tcPr>
            <w:tcW w:w="1276" w:type="dxa"/>
            <w:tcBorders>
              <w:top w:val="single" w:sz="4" w:space="0" w:color="auto"/>
              <w:left w:val="single" w:sz="4" w:space="0" w:color="auto"/>
              <w:bottom w:val="single" w:sz="4" w:space="0" w:color="auto"/>
              <w:right w:val="single" w:sz="4" w:space="0" w:color="auto"/>
            </w:tcBorders>
            <w:vAlign w:val="bottom"/>
            <w:hideMark/>
          </w:tcPr>
          <w:p w14:paraId="1FC1C250" w14:textId="77777777" w:rsidR="007C32A8" w:rsidRDefault="007C32A8">
            <w:pPr>
              <w:spacing w:line="256" w:lineRule="auto"/>
              <w:ind w:firstLine="15"/>
              <w:jc w:val="both"/>
              <w:rPr>
                <w:rFonts w:ascii="Times New Roman" w:hAnsi="Times New Roman" w:cs="Times New Roman"/>
                <w:b/>
                <w:szCs w:val="24"/>
              </w:rPr>
            </w:pPr>
            <w:r>
              <w:rPr>
                <w:rFonts w:ascii="Times New Roman" w:hAnsi="Times New Roman" w:cs="Times New Roman"/>
                <w:b/>
                <w:szCs w:val="24"/>
              </w:rPr>
              <w:t>1257,25</w:t>
            </w:r>
          </w:p>
        </w:tc>
        <w:tc>
          <w:tcPr>
            <w:tcW w:w="1417" w:type="dxa"/>
            <w:tcBorders>
              <w:top w:val="single" w:sz="4" w:space="0" w:color="auto"/>
              <w:left w:val="single" w:sz="4" w:space="0" w:color="auto"/>
              <w:bottom w:val="single" w:sz="4" w:space="0" w:color="auto"/>
              <w:right w:val="single" w:sz="4" w:space="0" w:color="auto"/>
            </w:tcBorders>
            <w:vAlign w:val="bottom"/>
            <w:hideMark/>
          </w:tcPr>
          <w:p w14:paraId="67483F12" w14:textId="77777777" w:rsidR="007C32A8" w:rsidRDefault="007C32A8">
            <w:pPr>
              <w:spacing w:line="256" w:lineRule="auto"/>
              <w:ind w:firstLine="15"/>
              <w:jc w:val="both"/>
              <w:rPr>
                <w:rFonts w:ascii="Times New Roman" w:hAnsi="Times New Roman" w:cs="Times New Roman"/>
                <w:b/>
                <w:szCs w:val="24"/>
              </w:rPr>
            </w:pPr>
            <w:r>
              <w:rPr>
                <w:rFonts w:ascii="Times New Roman" w:hAnsi="Times New Roman" w:cs="Times New Roman"/>
                <w:b/>
                <w:szCs w:val="24"/>
              </w:rPr>
              <w:t>100</w:t>
            </w:r>
          </w:p>
        </w:tc>
      </w:tr>
    </w:tbl>
    <w:p w14:paraId="2EABA391" w14:textId="77777777" w:rsidR="007C32A8" w:rsidRPr="007C32A8" w:rsidRDefault="007C32A8" w:rsidP="007C32A8">
      <w:pPr>
        <w:spacing w:after="0" w:line="240" w:lineRule="auto"/>
        <w:ind w:firstLine="567"/>
        <w:jc w:val="both"/>
        <w:rPr>
          <w:rFonts w:ascii="Times New Roman" w:hAnsi="Times New Roman" w:cs="Times New Roman"/>
          <w:iCs/>
          <w:szCs w:val="24"/>
        </w:rPr>
      </w:pPr>
      <w:r w:rsidRPr="007C32A8">
        <w:rPr>
          <w:rFonts w:ascii="Times New Roman" w:hAnsi="Times New Roman" w:cs="Times New Roman"/>
          <w:iCs/>
        </w:rPr>
        <w:t>*-</w:t>
      </w:r>
      <w:r w:rsidRPr="007C32A8">
        <w:rPr>
          <w:rFonts w:ascii="Times New Roman" w:hAnsi="Times New Roman" w:cs="Times New Roman"/>
          <w:iCs/>
          <w:szCs w:val="24"/>
        </w:rPr>
        <w:t xml:space="preserve"> опережающий среднероссийскую динамику.</w:t>
      </w:r>
    </w:p>
    <w:p w14:paraId="09AEB44A" w14:textId="77777777" w:rsidR="007C32A8" w:rsidRPr="007C32A8" w:rsidRDefault="007C32A8" w:rsidP="007C32A8">
      <w:pPr>
        <w:spacing w:after="0" w:line="240" w:lineRule="auto"/>
        <w:ind w:firstLine="567"/>
        <w:jc w:val="both"/>
        <w:rPr>
          <w:rFonts w:ascii="Times New Roman" w:hAnsi="Times New Roman" w:cs="Times New Roman"/>
          <w:i/>
        </w:rPr>
      </w:pPr>
      <w:r w:rsidRPr="007C32A8">
        <w:rPr>
          <w:rFonts w:ascii="Times New Roman" w:hAnsi="Times New Roman" w:cs="Times New Roman"/>
          <w:i/>
        </w:rPr>
        <w:t>Источник: Росстат, расчеты автора.</w:t>
      </w:r>
    </w:p>
    <w:p w14:paraId="0E4740B8" w14:textId="77777777" w:rsidR="007C32A8" w:rsidRPr="007C32A8" w:rsidRDefault="007C32A8" w:rsidP="007C32A8">
      <w:pPr>
        <w:spacing w:line="360" w:lineRule="auto"/>
        <w:ind w:firstLine="567"/>
        <w:jc w:val="both"/>
        <w:rPr>
          <w:rFonts w:ascii="Times New Roman" w:hAnsi="Times New Roman" w:cs="Times New Roman"/>
          <w:color w:val="000000" w:themeColor="text1"/>
          <w:sz w:val="28"/>
          <w:szCs w:val="28"/>
        </w:rPr>
      </w:pPr>
      <w:r w:rsidRPr="007C32A8">
        <w:rPr>
          <w:rFonts w:ascii="Times New Roman" w:hAnsi="Times New Roman" w:cs="Times New Roman"/>
          <w:sz w:val="28"/>
          <w:szCs w:val="28"/>
        </w:rPr>
        <w:t xml:space="preserve">Резервы роста производительности труда связаны, как правило, с устранением избыточной (или неэффективной) занятости работников. По данным Росстата, величина неполностью занятых работников на предприятиях (по всем исследуемым статистикой видам) в 2017 г. составляла для отдельных секторов экономики от 7% до 28%. Однако по нашим оценкам, полученным </w:t>
      </w:r>
      <w:r w:rsidRPr="007C32A8">
        <w:rPr>
          <w:rFonts w:ascii="Times New Roman" w:hAnsi="Times New Roman" w:cs="Times New Roman"/>
          <w:i/>
          <w:iCs/>
          <w:sz w:val="28"/>
          <w:szCs w:val="28"/>
        </w:rPr>
        <w:t>с учетом динамики действительных затрат труда</w:t>
      </w:r>
      <w:r w:rsidRPr="007C32A8">
        <w:rPr>
          <w:rFonts w:ascii="Times New Roman" w:hAnsi="Times New Roman" w:cs="Times New Roman"/>
          <w:sz w:val="28"/>
          <w:szCs w:val="28"/>
        </w:rPr>
        <w:t xml:space="preserve">, зависящей от технологических возможностей отраслей, величина неэффективно занятых работников существенно выше: в целом по </w:t>
      </w:r>
      <w:r w:rsidRPr="007C32A8">
        <w:rPr>
          <w:rFonts w:ascii="Times New Roman" w:hAnsi="Times New Roman" w:cs="Times New Roman"/>
          <w:color w:val="000000" w:themeColor="text1"/>
          <w:sz w:val="28"/>
          <w:szCs w:val="28"/>
        </w:rPr>
        <w:t>экономике - 34% от среднегодовой численности занятых в 2017 г.</w:t>
      </w:r>
    </w:p>
    <w:p w14:paraId="5E8A9168" w14:textId="77777777" w:rsidR="007C32A8" w:rsidRPr="007C32A8" w:rsidRDefault="007C32A8" w:rsidP="007C32A8">
      <w:pPr>
        <w:spacing w:line="360" w:lineRule="auto"/>
        <w:ind w:firstLine="567"/>
        <w:jc w:val="both"/>
        <w:rPr>
          <w:rFonts w:ascii="Times New Roman" w:hAnsi="Times New Roman" w:cs="Times New Roman"/>
          <w:sz w:val="28"/>
          <w:szCs w:val="28"/>
        </w:rPr>
      </w:pPr>
      <w:r w:rsidRPr="007C32A8">
        <w:rPr>
          <w:rFonts w:ascii="Times New Roman" w:hAnsi="Times New Roman" w:cs="Times New Roman"/>
          <w:sz w:val="28"/>
          <w:szCs w:val="28"/>
        </w:rPr>
        <w:t xml:space="preserve">В условиях нарастающих ограничений по трудовым ресурсам такая доля неэффективной занятости представляется чрезмерной. Понятно, что затраты труда со временем будут оптимизированы, следовательно, нет альтернативы сценарию внедрения трудосберегающих технологий и других, более гибких, схем занятости. Этот процесс неизбежно потребует увеличения квалификации работников – способности налаживать и управлять автоматизированным производственным процессом, контролировать работу машин, управляющих механизмами. Такое разделение труда значительно оптимизирует численность занятых на производстве и издержки на труд, повышает автоматизацию производства и производительность труда, а, следовательно, и уровень заработной платы.  </w:t>
      </w:r>
    </w:p>
    <w:p w14:paraId="04F93653" w14:textId="77777777" w:rsidR="007C32A8" w:rsidRPr="007C32A8" w:rsidRDefault="007C32A8" w:rsidP="007C32A8">
      <w:pPr>
        <w:spacing w:line="360" w:lineRule="auto"/>
        <w:ind w:firstLine="567"/>
        <w:jc w:val="both"/>
        <w:rPr>
          <w:rFonts w:ascii="Times New Roman" w:hAnsi="Times New Roman" w:cs="Times New Roman"/>
          <w:sz w:val="28"/>
          <w:szCs w:val="28"/>
        </w:rPr>
      </w:pPr>
      <w:proofErr w:type="gramStart"/>
      <w:r w:rsidRPr="007C32A8">
        <w:rPr>
          <w:rFonts w:ascii="Times New Roman" w:hAnsi="Times New Roman" w:cs="Times New Roman"/>
          <w:sz w:val="28"/>
          <w:szCs w:val="28"/>
        </w:rPr>
        <w:t>При этом,</w:t>
      </w:r>
      <w:proofErr w:type="gramEnd"/>
      <w:r w:rsidRPr="007C32A8">
        <w:rPr>
          <w:rFonts w:ascii="Times New Roman" w:hAnsi="Times New Roman" w:cs="Times New Roman"/>
          <w:sz w:val="28"/>
          <w:szCs w:val="28"/>
        </w:rPr>
        <w:t xml:space="preserve"> мы полагаем, что в долгосрочной перспективе автоматизация и внедрение инноваций (технологический прогресс) вряд ли станут фактором снижения занятости. По оценкам Р.И. </w:t>
      </w:r>
      <w:proofErr w:type="spellStart"/>
      <w:r w:rsidRPr="007C32A8">
        <w:rPr>
          <w:rFonts w:ascii="Times New Roman" w:hAnsi="Times New Roman" w:cs="Times New Roman"/>
          <w:sz w:val="28"/>
          <w:szCs w:val="28"/>
        </w:rPr>
        <w:t>Капелюшникова</w:t>
      </w:r>
      <w:proofErr w:type="spellEnd"/>
      <w:r>
        <w:rPr>
          <w:rStyle w:val="ad"/>
          <w:rFonts w:ascii="Times New Roman" w:hAnsi="Times New Roman" w:cs="Times New Roman"/>
          <w:sz w:val="28"/>
          <w:szCs w:val="28"/>
        </w:rPr>
        <w:footnoteReference w:id="27"/>
      </w:r>
      <w:r w:rsidRPr="007C32A8">
        <w:rPr>
          <w:rFonts w:ascii="Times New Roman" w:hAnsi="Times New Roman" w:cs="Times New Roman"/>
          <w:sz w:val="28"/>
          <w:szCs w:val="28"/>
        </w:rPr>
        <w:t xml:space="preserve"> гораздо в большей степени новые технологии повлияют на структуру занятости (на набор задач, решаемых в рамках каждой профессии), чем на ее уровень. Рост технологической безработицы представляется маловероятным также в силу низких (и замедляющихся) темпов технологического развития и нарастающих ограничений по труду.</w:t>
      </w:r>
    </w:p>
    <w:p w14:paraId="26A82EAF" w14:textId="1D13AC7E" w:rsidR="000A0B39" w:rsidRPr="006D0CE6" w:rsidRDefault="000A0B39" w:rsidP="000A0B39">
      <w:pPr>
        <w:rPr>
          <w:rFonts w:ascii="Times New Roman" w:eastAsia="Times New Roman" w:hAnsi="Times New Roman" w:cs="Times New Roman"/>
          <w:lang w:eastAsia="ru-RU"/>
        </w:rPr>
      </w:pPr>
      <w:r>
        <w:rPr>
          <w:rFonts w:ascii="Times New Roman" w:eastAsia="Times New Roman" w:hAnsi="Times New Roman" w:cs="Times New Roman"/>
          <w:lang w:eastAsia="ru-RU"/>
        </w:rPr>
        <w:br w:type="page"/>
      </w:r>
    </w:p>
    <w:p w14:paraId="10630851" w14:textId="7E7C12BB" w:rsidR="000A0B39" w:rsidRPr="000A0B39" w:rsidRDefault="00B46E37" w:rsidP="006F431D">
      <w:pPr>
        <w:pStyle w:val="1"/>
        <w:numPr>
          <w:ilvl w:val="0"/>
          <w:numId w:val="14"/>
        </w:numPr>
        <w:rPr>
          <w:rFonts w:ascii="Times New Roman" w:hAnsi="Times New Roman" w:cs="Times New Roman"/>
          <w:color w:val="auto"/>
        </w:rPr>
      </w:pPr>
      <w:bookmarkStart w:id="7" w:name="_Toc67417871"/>
      <w:r>
        <w:rPr>
          <w:rFonts w:ascii="Times New Roman" w:hAnsi="Times New Roman" w:cs="Times New Roman"/>
          <w:color w:val="auto"/>
        </w:rPr>
        <w:t>Гарантированные выплаты населению</w:t>
      </w:r>
      <w:r w:rsidR="00760EDF">
        <w:rPr>
          <w:rFonts w:ascii="Times New Roman" w:hAnsi="Times New Roman" w:cs="Times New Roman"/>
          <w:color w:val="auto"/>
        </w:rPr>
        <w:t xml:space="preserve"> как инструмент социальной политики</w:t>
      </w:r>
      <w:bookmarkEnd w:id="7"/>
    </w:p>
    <w:p w14:paraId="0264ED91" w14:textId="77777777" w:rsidR="007C32A8" w:rsidRPr="00762190" w:rsidRDefault="007C32A8" w:rsidP="007C32A8">
      <w:pPr>
        <w:spacing w:before="240"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Вопросы социальной политики в последние годы находились</w:t>
      </w:r>
      <w:r>
        <w:rPr>
          <w:rFonts w:ascii="Times New Roman" w:hAnsi="Times New Roman" w:cs="Times New Roman"/>
          <w:sz w:val="28"/>
          <w:szCs w:val="28"/>
        </w:rPr>
        <w:t xml:space="preserve"> и сохраняются</w:t>
      </w:r>
      <w:r w:rsidRPr="00762190">
        <w:rPr>
          <w:rFonts w:ascii="Times New Roman" w:hAnsi="Times New Roman" w:cs="Times New Roman"/>
          <w:sz w:val="28"/>
          <w:szCs w:val="28"/>
        </w:rPr>
        <w:t xml:space="preserve"> в центре общественного внимания. Объявленные в </w:t>
      </w:r>
      <w:r>
        <w:rPr>
          <w:rFonts w:ascii="Times New Roman" w:hAnsi="Times New Roman" w:cs="Times New Roman"/>
          <w:sz w:val="28"/>
          <w:szCs w:val="28"/>
        </w:rPr>
        <w:t>П</w:t>
      </w:r>
      <w:r w:rsidRPr="00762190">
        <w:rPr>
          <w:rFonts w:ascii="Times New Roman" w:hAnsi="Times New Roman" w:cs="Times New Roman"/>
          <w:sz w:val="28"/>
          <w:szCs w:val="28"/>
        </w:rPr>
        <w:t xml:space="preserve">ослании </w:t>
      </w:r>
      <w:r>
        <w:rPr>
          <w:rFonts w:ascii="Times New Roman" w:hAnsi="Times New Roman" w:cs="Times New Roman"/>
          <w:sz w:val="28"/>
          <w:szCs w:val="28"/>
        </w:rPr>
        <w:t xml:space="preserve">Президента Российской Федерации </w:t>
      </w:r>
      <w:r w:rsidRPr="00762190">
        <w:rPr>
          <w:rFonts w:ascii="Times New Roman" w:hAnsi="Times New Roman" w:cs="Times New Roman"/>
          <w:sz w:val="28"/>
          <w:szCs w:val="28"/>
        </w:rPr>
        <w:t xml:space="preserve">Федеральному собранию в январе 2020 г. меры социальной поддержки населения, в первую очередь семей с детьми, были призваны не только расширить покрытие существующих программ, как это было с материнским капиталом, но и дополнить их новыми пособиями. </w:t>
      </w:r>
    </w:p>
    <w:p w14:paraId="74FA7252"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Введённые из эпидемиологических соображений ограничения обострили существующие проблемы </w:t>
      </w:r>
      <w:r>
        <w:rPr>
          <w:rFonts w:ascii="Times New Roman" w:hAnsi="Times New Roman" w:cs="Times New Roman"/>
          <w:sz w:val="28"/>
          <w:szCs w:val="28"/>
        </w:rPr>
        <w:t>уровня и качества</w:t>
      </w:r>
      <w:r w:rsidRPr="00762190">
        <w:rPr>
          <w:rFonts w:ascii="Times New Roman" w:hAnsi="Times New Roman" w:cs="Times New Roman"/>
          <w:sz w:val="28"/>
          <w:szCs w:val="28"/>
        </w:rPr>
        <w:t xml:space="preserve"> жизни граждан</w:t>
      </w:r>
      <w:r>
        <w:rPr>
          <w:rFonts w:ascii="Times New Roman" w:hAnsi="Times New Roman" w:cs="Times New Roman"/>
          <w:sz w:val="28"/>
          <w:szCs w:val="28"/>
        </w:rPr>
        <w:t>,</w:t>
      </w:r>
      <w:r w:rsidRPr="00762190">
        <w:rPr>
          <w:rFonts w:ascii="Times New Roman" w:hAnsi="Times New Roman" w:cs="Times New Roman"/>
          <w:sz w:val="28"/>
          <w:szCs w:val="28"/>
        </w:rPr>
        <w:t xml:space="preserve"> и продемонстрировали несовершенство существующей адресной системы поддержки населения. Например, в первые месяцы жестких ограничений, сотням тысячам граждан, по тем или иным причинам, было отказано в получении пособия по безработице</w:t>
      </w:r>
      <w:r w:rsidRPr="00762190">
        <w:rPr>
          <w:rStyle w:val="ad"/>
          <w:rFonts w:ascii="Times New Roman" w:hAnsi="Times New Roman" w:cs="Times New Roman"/>
          <w:sz w:val="28"/>
          <w:szCs w:val="28"/>
        </w:rPr>
        <w:footnoteReference w:id="28"/>
      </w:r>
      <w:r w:rsidRPr="00762190">
        <w:rPr>
          <w:rFonts w:ascii="Times New Roman" w:hAnsi="Times New Roman" w:cs="Times New Roman"/>
          <w:sz w:val="28"/>
          <w:szCs w:val="28"/>
        </w:rPr>
        <w:t>.</w:t>
      </w:r>
    </w:p>
    <w:p w14:paraId="470098CB" w14:textId="77777777" w:rsidR="007C32A8" w:rsidRPr="00762190" w:rsidRDefault="007C32A8" w:rsidP="007C32A8">
      <w:pPr>
        <w:spacing w:line="360" w:lineRule="auto"/>
        <w:ind w:firstLine="709"/>
        <w:jc w:val="both"/>
        <w:rPr>
          <w:sz w:val="24"/>
          <w:szCs w:val="24"/>
        </w:rPr>
      </w:pPr>
      <w:r w:rsidRPr="00762190">
        <w:rPr>
          <w:rFonts w:ascii="Times New Roman" w:hAnsi="Times New Roman" w:cs="Times New Roman"/>
          <w:sz w:val="28"/>
          <w:szCs w:val="28"/>
        </w:rPr>
        <w:t xml:space="preserve">Значимой поддержкой для миллионов семей стали единовременные выплаты на детей в возрасте до 16 лет включительно. Однако, чувство </w:t>
      </w:r>
      <w:r>
        <w:rPr>
          <w:rFonts w:ascii="Times New Roman" w:hAnsi="Times New Roman" w:cs="Times New Roman"/>
          <w:sz w:val="28"/>
          <w:szCs w:val="28"/>
        </w:rPr>
        <w:t>удовлетворения</w:t>
      </w:r>
      <w:r w:rsidRPr="00762190">
        <w:rPr>
          <w:rFonts w:ascii="Times New Roman" w:hAnsi="Times New Roman" w:cs="Times New Roman"/>
          <w:sz w:val="28"/>
          <w:szCs w:val="28"/>
        </w:rPr>
        <w:t xml:space="preserve"> и ощущение заботы со стороны государства люди испытали только после того, как обещанные средства поступили на счет. Это нашло свое отражение даже в рейтинге доверия Президенту, который, по данным ВЦИОМ, стал увеличиваться</w:t>
      </w:r>
      <w:r>
        <w:rPr>
          <w:rFonts w:ascii="Times New Roman" w:hAnsi="Times New Roman" w:cs="Times New Roman"/>
          <w:sz w:val="28"/>
          <w:szCs w:val="28"/>
        </w:rPr>
        <w:t>,</w:t>
      </w:r>
      <w:r w:rsidRPr="00762190">
        <w:rPr>
          <w:rFonts w:ascii="Times New Roman" w:hAnsi="Times New Roman" w:cs="Times New Roman"/>
          <w:sz w:val="28"/>
          <w:szCs w:val="28"/>
        </w:rPr>
        <w:t xml:space="preserve"> начиная с мая 2020 г.</w:t>
      </w:r>
    </w:p>
    <w:p w14:paraId="7CF28EF7"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Такого рода выплаты не предполагали проверки нуждаемости при назначении, а значит они могут быть отнесены</w:t>
      </w:r>
      <w:r>
        <w:rPr>
          <w:rFonts w:ascii="Times New Roman" w:hAnsi="Times New Roman" w:cs="Times New Roman"/>
          <w:sz w:val="28"/>
          <w:szCs w:val="28"/>
        </w:rPr>
        <w:t>, хоть и с оговорками,</w:t>
      </w:r>
      <w:r w:rsidRPr="00762190">
        <w:rPr>
          <w:rFonts w:ascii="Times New Roman" w:hAnsi="Times New Roman" w:cs="Times New Roman"/>
          <w:sz w:val="28"/>
          <w:szCs w:val="28"/>
        </w:rPr>
        <w:t xml:space="preserve"> к концепции безусловного базового дохода (ББД), </w:t>
      </w:r>
      <w:r>
        <w:rPr>
          <w:rFonts w:ascii="Times New Roman" w:hAnsi="Times New Roman" w:cs="Times New Roman"/>
          <w:sz w:val="28"/>
          <w:szCs w:val="28"/>
        </w:rPr>
        <w:t>который</w:t>
      </w:r>
      <w:r w:rsidRPr="00762190">
        <w:rPr>
          <w:rFonts w:ascii="Times New Roman" w:hAnsi="Times New Roman" w:cs="Times New Roman"/>
          <w:sz w:val="28"/>
          <w:szCs w:val="28"/>
        </w:rPr>
        <w:t xml:space="preserve"> </w:t>
      </w:r>
      <w:r>
        <w:rPr>
          <w:rFonts w:ascii="Times New Roman" w:hAnsi="Times New Roman" w:cs="Times New Roman"/>
          <w:sz w:val="28"/>
          <w:szCs w:val="28"/>
        </w:rPr>
        <w:t>в</w:t>
      </w:r>
      <w:r w:rsidRPr="00762190">
        <w:rPr>
          <w:rFonts w:ascii="Times New Roman" w:hAnsi="Times New Roman" w:cs="Times New Roman"/>
          <w:sz w:val="28"/>
          <w:szCs w:val="28"/>
        </w:rPr>
        <w:t xml:space="preserve"> классическом понимании </w:t>
      </w:r>
      <w:r>
        <w:rPr>
          <w:rFonts w:ascii="Times New Roman" w:hAnsi="Times New Roman" w:cs="Times New Roman"/>
          <w:sz w:val="28"/>
          <w:szCs w:val="28"/>
        </w:rPr>
        <w:t>представляет собой</w:t>
      </w:r>
      <w:r w:rsidRPr="00762190">
        <w:rPr>
          <w:rFonts w:ascii="Times New Roman" w:hAnsi="Times New Roman" w:cs="Times New Roman"/>
          <w:sz w:val="28"/>
          <w:szCs w:val="28"/>
        </w:rPr>
        <w:t xml:space="preserve"> денежные выплаты</w:t>
      </w:r>
      <w:r>
        <w:rPr>
          <w:rFonts w:ascii="Times New Roman" w:hAnsi="Times New Roman" w:cs="Times New Roman"/>
          <w:sz w:val="28"/>
          <w:szCs w:val="28"/>
        </w:rPr>
        <w:t xml:space="preserve"> от государства</w:t>
      </w:r>
      <w:r w:rsidRPr="00762190">
        <w:rPr>
          <w:rFonts w:ascii="Times New Roman" w:hAnsi="Times New Roman" w:cs="Times New Roman"/>
          <w:sz w:val="28"/>
          <w:szCs w:val="28"/>
        </w:rPr>
        <w:t xml:space="preserve"> всем гражданам вне зависимости от каких</w:t>
      </w:r>
      <w:r>
        <w:rPr>
          <w:rFonts w:ascii="Times New Roman" w:hAnsi="Times New Roman" w:cs="Times New Roman"/>
          <w:sz w:val="28"/>
          <w:szCs w:val="28"/>
        </w:rPr>
        <w:t xml:space="preserve"> </w:t>
      </w:r>
      <w:r w:rsidRPr="00762190">
        <w:rPr>
          <w:rFonts w:ascii="Times New Roman" w:hAnsi="Times New Roman" w:cs="Times New Roman"/>
          <w:sz w:val="28"/>
          <w:szCs w:val="28"/>
        </w:rPr>
        <w:t>бы то ни было обстоятельств и условий</w:t>
      </w:r>
      <w:r>
        <w:rPr>
          <w:rFonts w:ascii="Times New Roman" w:hAnsi="Times New Roman" w:cs="Times New Roman"/>
          <w:sz w:val="28"/>
          <w:szCs w:val="28"/>
        </w:rPr>
        <w:t>.</w:t>
      </w:r>
    </w:p>
    <w:p w14:paraId="0063972A"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Несмотря на то, что эксперименты с ББД проводились в разное время, в разных странах и с разными по составу выборками, результаты оказались достаточно схожими. </w:t>
      </w:r>
      <w:r>
        <w:rPr>
          <w:rFonts w:ascii="Times New Roman" w:hAnsi="Times New Roman" w:cs="Times New Roman"/>
          <w:sz w:val="28"/>
          <w:szCs w:val="28"/>
        </w:rPr>
        <w:t>На уровне</w:t>
      </w:r>
      <w:r w:rsidRPr="00762190">
        <w:rPr>
          <w:rFonts w:ascii="Times New Roman" w:hAnsi="Times New Roman" w:cs="Times New Roman"/>
          <w:sz w:val="28"/>
          <w:szCs w:val="28"/>
        </w:rPr>
        <w:t xml:space="preserve"> полной занятости</w:t>
      </w:r>
      <w:r>
        <w:rPr>
          <w:rFonts w:ascii="Times New Roman" w:hAnsi="Times New Roman" w:cs="Times New Roman"/>
          <w:sz w:val="28"/>
          <w:szCs w:val="28"/>
        </w:rPr>
        <w:t xml:space="preserve"> подобные выплаты практически не сказывались (он</w:t>
      </w:r>
      <w:r w:rsidRPr="00762190">
        <w:rPr>
          <w:rFonts w:ascii="Times New Roman" w:hAnsi="Times New Roman" w:cs="Times New Roman"/>
          <w:sz w:val="28"/>
          <w:szCs w:val="28"/>
        </w:rPr>
        <w:t xml:space="preserve"> либо не снижался</w:t>
      </w:r>
      <w:r>
        <w:rPr>
          <w:rFonts w:ascii="Times New Roman" w:hAnsi="Times New Roman" w:cs="Times New Roman"/>
          <w:sz w:val="28"/>
          <w:szCs w:val="28"/>
        </w:rPr>
        <w:t xml:space="preserve"> вовсе</w:t>
      </w:r>
      <w:r w:rsidRPr="00762190">
        <w:rPr>
          <w:rFonts w:ascii="Times New Roman" w:hAnsi="Times New Roman" w:cs="Times New Roman"/>
          <w:sz w:val="28"/>
          <w:szCs w:val="28"/>
        </w:rPr>
        <w:t>, либо снижался несущественно</w:t>
      </w:r>
      <w:r>
        <w:rPr>
          <w:rFonts w:ascii="Times New Roman" w:hAnsi="Times New Roman" w:cs="Times New Roman"/>
          <w:sz w:val="28"/>
          <w:szCs w:val="28"/>
        </w:rPr>
        <w:t>)</w:t>
      </w:r>
      <w:r w:rsidRPr="00762190">
        <w:rPr>
          <w:rStyle w:val="ad"/>
          <w:rFonts w:ascii="Times New Roman" w:hAnsi="Times New Roman" w:cs="Times New Roman"/>
          <w:sz w:val="28"/>
          <w:szCs w:val="28"/>
        </w:rPr>
        <w:footnoteReference w:id="29"/>
      </w:r>
      <w:r w:rsidRPr="00762190">
        <w:rPr>
          <w:rFonts w:ascii="Times New Roman" w:hAnsi="Times New Roman" w:cs="Times New Roman"/>
          <w:sz w:val="28"/>
          <w:szCs w:val="28"/>
        </w:rPr>
        <w:t xml:space="preserve">, </w:t>
      </w:r>
      <w:r>
        <w:rPr>
          <w:rFonts w:ascii="Times New Roman" w:hAnsi="Times New Roman" w:cs="Times New Roman"/>
          <w:sz w:val="28"/>
          <w:szCs w:val="28"/>
        </w:rPr>
        <w:t>однако</w:t>
      </w:r>
      <w:r w:rsidRPr="00762190">
        <w:rPr>
          <w:rFonts w:ascii="Times New Roman" w:hAnsi="Times New Roman" w:cs="Times New Roman"/>
          <w:sz w:val="28"/>
          <w:szCs w:val="28"/>
        </w:rPr>
        <w:t xml:space="preserve"> частичная занятость </w:t>
      </w:r>
      <w:r>
        <w:rPr>
          <w:rFonts w:ascii="Times New Roman" w:hAnsi="Times New Roman" w:cs="Times New Roman"/>
          <w:sz w:val="28"/>
          <w:szCs w:val="28"/>
        </w:rPr>
        <w:t>увеличивалась</w:t>
      </w:r>
      <w:r w:rsidRPr="00762190">
        <w:rPr>
          <w:rStyle w:val="ad"/>
          <w:rFonts w:ascii="Times New Roman" w:hAnsi="Times New Roman" w:cs="Times New Roman"/>
          <w:sz w:val="28"/>
          <w:szCs w:val="28"/>
        </w:rPr>
        <w:footnoteReference w:id="30"/>
      </w:r>
      <w:r w:rsidRPr="00762190">
        <w:rPr>
          <w:rFonts w:ascii="Times New Roman" w:hAnsi="Times New Roman" w:cs="Times New Roman"/>
          <w:sz w:val="28"/>
          <w:szCs w:val="28"/>
        </w:rPr>
        <w:t>. Снижение предложения труда происходило среди одиноких женщин с детьми, которые предпочитали потратить немного больше времени на общение с детьми, а также среди недавних студентов, которые хотели получить дополнительные знания перед выходом на рынок труда.</w:t>
      </w:r>
    </w:p>
    <w:p w14:paraId="07AADC6F"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Ни в одном эксперименте не было зафиксировано увеличения расходов на алкоголь или табак – их потребление либо снижалось, либо оставалось на прежнем уровне</w:t>
      </w:r>
      <w:r w:rsidRPr="00762190">
        <w:rPr>
          <w:rStyle w:val="ad"/>
          <w:rFonts w:ascii="Times New Roman" w:hAnsi="Times New Roman" w:cs="Times New Roman"/>
          <w:sz w:val="28"/>
          <w:szCs w:val="28"/>
        </w:rPr>
        <w:footnoteReference w:id="31"/>
      </w:r>
      <w:r w:rsidRPr="00762190">
        <w:rPr>
          <w:rFonts w:ascii="Times New Roman" w:hAnsi="Times New Roman" w:cs="Times New Roman"/>
          <w:sz w:val="28"/>
          <w:szCs w:val="28"/>
        </w:rPr>
        <w:t>. Дополнительные средства люди расходовали на текущее потребление и на товары длительного пользования</w:t>
      </w:r>
      <w:r w:rsidRPr="00762190">
        <w:rPr>
          <w:rStyle w:val="ad"/>
          <w:rFonts w:ascii="Times New Roman" w:hAnsi="Times New Roman" w:cs="Times New Roman"/>
          <w:sz w:val="28"/>
          <w:szCs w:val="28"/>
        </w:rPr>
        <w:footnoteReference w:id="32"/>
      </w:r>
      <w:r w:rsidRPr="00762190">
        <w:rPr>
          <w:rFonts w:ascii="Times New Roman" w:hAnsi="Times New Roman" w:cs="Times New Roman"/>
          <w:sz w:val="28"/>
          <w:szCs w:val="28"/>
        </w:rPr>
        <w:t>.</w:t>
      </w:r>
    </w:p>
    <w:p w14:paraId="40D74E51"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Безусловные трансферты положительно влияли на физиологическое и психологическое здоровье людей</w:t>
      </w:r>
      <w:r>
        <w:rPr>
          <w:rFonts w:ascii="Times New Roman" w:hAnsi="Times New Roman" w:cs="Times New Roman"/>
          <w:sz w:val="28"/>
          <w:szCs w:val="28"/>
        </w:rPr>
        <w:t>:</w:t>
      </w:r>
      <w:r w:rsidRPr="00762190">
        <w:rPr>
          <w:rFonts w:ascii="Times New Roman" w:hAnsi="Times New Roman" w:cs="Times New Roman"/>
          <w:sz w:val="28"/>
          <w:szCs w:val="28"/>
        </w:rPr>
        <w:t xml:space="preserve"> </w:t>
      </w:r>
      <w:r>
        <w:rPr>
          <w:rFonts w:ascii="Times New Roman" w:hAnsi="Times New Roman" w:cs="Times New Roman"/>
          <w:sz w:val="28"/>
          <w:szCs w:val="28"/>
        </w:rPr>
        <w:t>с</w:t>
      </w:r>
      <w:r w:rsidRPr="00762190">
        <w:rPr>
          <w:rFonts w:ascii="Times New Roman" w:hAnsi="Times New Roman" w:cs="Times New Roman"/>
          <w:sz w:val="28"/>
          <w:szCs w:val="28"/>
        </w:rPr>
        <w:t>нижалось число обращений за предоставлением медицинской помощи</w:t>
      </w:r>
      <w:r w:rsidRPr="00762190">
        <w:rPr>
          <w:rStyle w:val="ad"/>
          <w:rFonts w:ascii="Times New Roman" w:hAnsi="Times New Roman" w:cs="Times New Roman"/>
          <w:sz w:val="28"/>
          <w:szCs w:val="28"/>
        </w:rPr>
        <w:footnoteReference w:id="33"/>
      </w:r>
      <w:r w:rsidRPr="00762190">
        <w:rPr>
          <w:rFonts w:ascii="Times New Roman" w:hAnsi="Times New Roman" w:cs="Times New Roman"/>
          <w:sz w:val="28"/>
          <w:szCs w:val="28"/>
        </w:rPr>
        <w:t>, количество заболевших</w:t>
      </w:r>
      <w:r w:rsidRPr="00762190">
        <w:rPr>
          <w:rStyle w:val="ad"/>
          <w:rFonts w:ascii="Times New Roman" w:hAnsi="Times New Roman" w:cs="Times New Roman"/>
          <w:sz w:val="28"/>
          <w:szCs w:val="28"/>
        </w:rPr>
        <w:footnoteReference w:id="34"/>
      </w:r>
      <w:r w:rsidRPr="00762190">
        <w:rPr>
          <w:rFonts w:ascii="Times New Roman" w:hAnsi="Times New Roman" w:cs="Times New Roman"/>
          <w:sz w:val="28"/>
          <w:szCs w:val="28"/>
        </w:rPr>
        <w:t xml:space="preserve">, </w:t>
      </w:r>
      <w:r>
        <w:rPr>
          <w:rFonts w:ascii="Times New Roman" w:hAnsi="Times New Roman" w:cs="Times New Roman"/>
          <w:sz w:val="28"/>
          <w:szCs w:val="28"/>
        </w:rPr>
        <w:t>падал</w:t>
      </w:r>
      <w:r w:rsidRPr="00762190">
        <w:rPr>
          <w:rFonts w:ascii="Times New Roman" w:hAnsi="Times New Roman" w:cs="Times New Roman"/>
          <w:sz w:val="28"/>
          <w:szCs w:val="28"/>
        </w:rPr>
        <w:t xml:space="preserve"> уровень стресса среди получателей выплат</w:t>
      </w:r>
      <w:r w:rsidRPr="00762190">
        <w:rPr>
          <w:rStyle w:val="ad"/>
          <w:rFonts w:ascii="Times New Roman" w:hAnsi="Times New Roman" w:cs="Times New Roman"/>
          <w:sz w:val="28"/>
          <w:szCs w:val="28"/>
        </w:rPr>
        <w:footnoteReference w:id="35"/>
      </w:r>
      <w:r>
        <w:rPr>
          <w:rFonts w:ascii="Times New Roman" w:hAnsi="Times New Roman" w:cs="Times New Roman"/>
          <w:sz w:val="28"/>
          <w:szCs w:val="28"/>
        </w:rPr>
        <w:t>, а дети рождались более здоровыми</w:t>
      </w:r>
      <w:r>
        <w:rPr>
          <w:rStyle w:val="ad"/>
          <w:rFonts w:ascii="Times New Roman" w:hAnsi="Times New Roman" w:cs="Times New Roman"/>
          <w:sz w:val="28"/>
          <w:szCs w:val="28"/>
        </w:rPr>
        <w:footnoteReference w:id="36"/>
      </w:r>
      <w:r w:rsidRPr="00762190">
        <w:rPr>
          <w:rFonts w:ascii="Times New Roman" w:hAnsi="Times New Roman" w:cs="Times New Roman"/>
          <w:sz w:val="28"/>
          <w:szCs w:val="28"/>
        </w:rPr>
        <w:t>.</w:t>
      </w:r>
    </w:p>
    <w:p w14:paraId="1EE43FED"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Безусловные трансферты</w:t>
      </w:r>
      <w:r>
        <w:rPr>
          <w:rFonts w:ascii="Times New Roman" w:hAnsi="Times New Roman" w:cs="Times New Roman"/>
          <w:sz w:val="28"/>
          <w:szCs w:val="28"/>
        </w:rPr>
        <w:t xml:space="preserve"> также способствовали</w:t>
      </w:r>
      <w:r w:rsidRPr="00762190">
        <w:rPr>
          <w:rFonts w:ascii="Times New Roman" w:hAnsi="Times New Roman" w:cs="Times New Roman"/>
          <w:sz w:val="28"/>
          <w:szCs w:val="28"/>
        </w:rPr>
        <w:t xml:space="preserve"> повыш</w:t>
      </w:r>
      <w:r>
        <w:rPr>
          <w:rFonts w:ascii="Times New Roman" w:hAnsi="Times New Roman" w:cs="Times New Roman"/>
          <w:sz w:val="28"/>
          <w:szCs w:val="28"/>
        </w:rPr>
        <w:t>ению</w:t>
      </w:r>
      <w:r w:rsidRPr="00762190">
        <w:rPr>
          <w:rFonts w:ascii="Times New Roman" w:hAnsi="Times New Roman" w:cs="Times New Roman"/>
          <w:sz w:val="28"/>
          <w:szCs w:val="28"/>
        </w:rPr>
        <w:t xml:space="preserve"> эффективност</w:t>
      </w:r>
      <w:r>
        <w:rPr>
          <w:rFonts w:ascii="Times New Roman" w:hAnsi="Times New Roman" w:cs="Times New Roman"/>
          <w:sz w:val="28"/>
          <w:szCs w:val="28"/>
        </w:rPr>
        <w:t>и</w:t>
      </w:r>
      <w:r w:rsidRPr="00762190">
        <w:rPr>
          <w:rFonts w:ascii="Times New Roman" w:hAnsi="Times New Roman" w:cs="Times New Roman"/>
          <w:sz w:val="28"/>
          <w:szCs w:val="28"/>
        </w:rPr>
        <w:t xml:space="preserve"> существующих расходов на образование. Дети из семей, которые получали безусловные выплаты, реже пропускали уроки</w:t>
      </w:r>
      <w:r w:rsidRPr="00762190">
        <w:rPr>
          <w:rStyle w:val="ad"/>
          <w:rFonts w:ascii="Times New Roman" w:hAnsi="Times New Roman" w:cs="Times New Roman"/>
          <w:sz w:val="28"/>
          <w:szCs w:val="28"/>
        </w:rPr>
        <w:footnoteReference w:id="37"/>
      </w:r>
      <w:r w:rsidRPr="00762190">
        <w:rPr>
          <w:rFonts w:ascii="Times New Roman" w:hAnsi="Times New Roman" w:cs="Times New Roman"/>
          <w:sz w:val="28"/>
          <w:szCs w:val="28"/>
        </w:rPr>
        <w:t>, лучше усваивали материал, а также чаще продолжали учиться в старших классах.</w:t>
      </w:r>
    </w:p>
    <w:p w14:paraId="35752EBB"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Благодаря третьему антикризисному пакету, Россия оказалась в числе стран, где был проведен квази-эксперимент с прямыми выплатами. Наиболее важным его результатом является то, что в</w:t>
      </w:r>
      <w:r>
        <w:rPr>
          <w:rFonts w:ascii="Times New Roman" w:hAnsi="Times New Roman" w:cs="Times New Roman"/>
          <w:sz w:val="28"/>
          <w:szCs w:val="28"/>
        </w:rPr>
        <w:t xml:space="preserve"> сложной</w:t>
      </w:r>
      <w:r w:rsidRPr="00762190">
        <w:rPr>
          <w:rFonts w:ascii="Times New Roman" w:hAnsi="Times New Roman" w:cs="Times New Roman"/>
          <w:sz w:val="28"/>
          <w:szCs w:val="28"/>
        </w:rPr>
        <w:t xml:space="preserve"> ситуации, возникшей из-за пандемии, </w:t>
      </w:r>
      <w:r>
        <w:rPr>
          <w:rFonts w:ascii="Times New Roman" w:hAnsi="Times New Roman" w:cs="Times New Roman"/>
          <w:sz w:val="28"/>
          <w:szCs w:val="28"/>
        </w:rPr>
        <w:t>государство оказалось</w:t>
      </w:r>
      <w:r w:rsidRPr="00762190">
        <w:rPr>
          <w:rFonts w:ascii="Times New Roman" w:hAnsi="Times New Roman" w:cs="Times New Roman"/>
          <w:sz w:val="28"/>
          <w:szCs w:val="28"/>
        </w:rPr>
        <w:t xml:space="preserve"> способно быстро и без лишних проволочек помочь в трудную минуту семьям с детьми. </w:t>
      </w:r>
    </w:p>
    <w:p w14:paraId="6B8E8848"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В отличие от классических экспериментов с </w:t>
      </w:r>
      <w:r>
        <w:rPr>
          <w:rFonts w:ascii="Times New Roman" w:hAnsi="Times New Roman" w:cs="Times New Roman"/>
          <w:sz w:val="28"/>
          <w:szCs w:val="28"/>
        </w:rPr>
        <w:t>ББД</w:t>
      </w:r>
      <w:r w:rsidRPr="00762190">
        <w:rPr>
          <w:rFonts w:ascii="Times New Roman" w:hAnsi="Times New Roman" w:cs="Times New Roman"/>
          <w:sz w:val="28"/>
          <w:szCs w:val="28"/>
        </w:rPr>
        <w:t>, где данные о расходовании средств получатели выплат сообщают интервьюерам, в российском квази-эксперименте подобные данные</w:t>
      </w:r>
      <w:r>
        <w:rPr>
          <w:rFonts w:ascii="Times New Roman" w:hAnsi="Times New Roman" w:cs="Times New Roman"/>
          <w:sz w:val="28"/>
          <w:szCs w:val="28"/>
        </w:rPr>
        <w:t xml:space="preserve"> систематически</w:t>
      </w:r>
      <w:r w:rsidRPr="00762190">
        <w:rPr>
          <w:rFonts w:ascii="Times New Roman" w:hAnsi="Times New Roman" w:cs="Times New Roman"/>
          <w:sz w:val="28"/>
          <w:szCs w:val="28"/>
        </w:rPr>
        <w:t xml:space="preserve"> не собирались. Тем не менее, по </w:t>
      </w:r>
      <w:r>
        <w:rPr>
          <w:rFonts w:ascii="Times New Roman" w:hAnsi="Times New Roman" w:cs="Times New Roman"/>
          <w:sz w:val="28"/>
          <w:szCs w:val="28"/>
        </w:rPr>
        <w:t xml:space="preserve">выборочным (отрывочным) </w:t>
      </w:r>
      <w:r w:rsidRPr="00762190">
        <w:rPr>
          <w:rFonts w:ascii="Times New Roman" w:hAnsi="Times New Roman" w:cs="Times New Roman"/>
          <w:sz w:val="28"/>
          <w:szCs w:val="28"/>
        </w:rPr>
        <w:t>статистически</w:t>
      </w:r>
      <w:r>
        <w:rPr>
          <w:rFonts w:ascii="Times New Roman" w:hAnsi="Times New Roman" w:cs="Times New Roman"/>
          <w:sz w:val="28"/>
          <w:szCs w:val="28"/>
        </w:rPr>
        <w:t>м</w:t>
      </w:r>
      <w:r w:rsidRPr="00762190">
        <w:rPr>
          <w:rFonts w:ascii="Times New Roman" w:hAnsi="Times New Roman" w:cs="Times New Roman"/>
          <w:sz w:val="28"/>
          <w:szCs w:val="28"/>
        </w:rPr>
        <w:t xml:space="preserve"> данны</w:t>
      </w:r>
      <w:r>
        <w:rPr>
          <w:rFonts w:ascii="Times New Roman" w:hAnsi="Times New Roman" w:cs="Times New Roman"/>
          <w:sz w:val="28"/>
          <w:szCs w:val="28"/>
        </w:rPr>
        <w:t>м</w:t>
      </w:r>
      <w:r w:rsidRPr="00762190">
        <w:rPr>
          <w:rFonts w:ascii="Times New Roman" w:hAnsi="Times New Roman" w:cs="Times New Roman"/>
          <w:sz w:val="28"/>
          <w:szCs w:val="28"/>
        </w:rPr>
        <w:t>, собираемы</w:t>
      </w:r>
      <w:r>
        <w:rPr>
          <w:rFonts w:ascii="Times New Roman" w:hAnsi="Times New Roman" w:cs="Times New Roman"/>
          <w:sz w:val="28"/>
          <w:szCs w:val="28"/>
        </w:rPr>
        <w:t>м</w:t>
      </w:r>
      <w:r w:rsidRPr="00762190">
        <w:rPr>
          <w:rFonts w:ascii="Times New Roman" w:hAnsi="Times New Roman" w:cs="Times New Roman"/>
          <w:sz w:val="28"/>
          <w:szCs w:val="28"/>
        </w:rPr>
        <w:t xml:space="preserve"> коммерческими компаниями, можно определить, на что эти средства были потрачены.</w:t>
      </w:r>
    </w:p>
    <w:p w14:paraId="560F35E1"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Согласно данным «Сбербанка», в первые дни июня и июля</w:t>
      </w:r>
      <w:r>
        <w:rPr>
          <w:rFonts w:ascii="Times New Roman" w:hAnsi="Times New Roman" w:cs="Times New Roman"/>
          <w:sz w:val="28"/>
          <w:szCs w:val="28"/>
        </w:rPr>
        <w:t xml:space="preserve"> 2020 г.</w:t>
      </w:r>
      <w:r w:rsidRPr="00762190">
        <w:rPr>
          <w:rFonts w:ascii="Times New Roman" w:hAnsi="Times New Roman" w:cs="Times New Roman"/>
          <w:sz w:val="28"/>
          <w:szCs w:val="28"/>
        </w:rPr>
        <w:t xml:space="preserve"> заметно вырос спрос в сегментах «Одежда, обувь и аксессуары», «Бытовая техника и электроника», «Мебель и предметы интерьера», «Хобби и увлечения»</w:t>
      </w:r>
      <w:r>
        <w:rPr>
          <w:rFonts w:ascii="Times New Roman" w:hAnsi="Times New Roman" w:cs="Times New Roman"/>
          <w:sz w:val="28"/>
          <w:szCs w:val="28"/>
        </w:rPr>
        <w:t xml:space="preserve"> (рис. 6.1)</w:t>
      </w:r>
      <w:r w:rsidRPr="00762190">
        <w:rPr>
          <w:rFonts w:ascii="Times New Roman" w:hAnsi="Times New Roman" w:cs="Times New Roman"/>
          <w:sz w:val="28"/>
          <w:szCs w:val="28"/>
        </w:rPr>
        <w:t xml:space="preserve">. Более умеренный рост наблюдался в сегменте «Товары для строительства и ремонта», а в секторе «Продуктовые магазины» небольшое увеличение спроса отмечен только после второй выплаты. </w:t>
      </w:r>
      <w:proofErr w:type="gramStart"/>
      <w:r w:rsidRPr="00762190">
        <w:rPr>
          <w:rFonts w:ascii="Times New Roman" w:hAnsi="Times New Roman" w:cs="Times New Roman"/>
          <w:sz w:val="28"/>
          <w:szCs w:val="28"/>
        </w:rPr>
        <w:t>При этом,</w:t>
      </w:r>
      <w:proofErr w:type="gramEnd"/>
      <w:r w:rsidRPr="00762190">
        <w:rPr>
          <w:rFonts w:ascii="Times New Roman" w:hAnsi="Times New Roman" w:cs="Times New Roman"/>
          <w:sz w:val="28"/>
          <w:szCs w:val="28"/>
        </w:rPr>
        <w:t xml:space="preserve"> увеличения расходов в сегменте «Винные магазины» не произошло.</w:t>
      </w:r>
    </w:p>
    <w:p w14:paraId="2092DF2B" w14:textId="77777777" w:rsidR="007C32A8" w:rsidRPr="00762190" w:rsidRDefault="007C32A8" w:rsidP="007C32A8">
      <w:pPr>
        <w:spacing w:line="360" w:lineRule="auto"/>
        <w:jc w:val="center"/>
        <w:rPr>
          <w:rFonts w:ascii="Times New Roman" w:hAnsi="Times New Roman" w:cs="Times New Roman"/>
          <w:sz w:val="28"/>
          <w:szCs w:val="28"/>
        </w:rPr>
      </w:pPr>
      <w:r w:rsidRPr="00762190">
        <w:rPr>
          <w:noProof/>
          <w:sz w:val="24"/>
          <w:szCs w:val="24"/>
          <w:lang w:eastAsia="ru-RU"/>
        </w:rPr>
        <w:drawing>
          <wp:inline distT="0" distB="0" distL="0" distR="0" wp14:anchorId="44D2B8E2" wp14:editId="630B7EC8">
            <wp:extent cx="5940425" cy="3591560"/>
            <wp:effectExtent l="0" t="0" r="3175" b="8890"/>
            <wp:docPr id="14" name="Диаграмма 14">
              <a:extLst xmlns:a="http://schemas.openxmlformats.org/drawingml/2006/main">
                <a:ext uri="{FF2B5EF4-FFF2-40B4-BE49-F238E27FC236}">
                  <a16:creationId xmlns:a16="http://schemas.microsoft.com/office/drawing/2014/main" id="{B6A76B36-82E1-4670-80C4-DC444E778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8833B6" w14:textId="77777777" w:rsidR="007C32A8" w:rsidRPr="00762190" w:rsidRDefault="007C32A8" w:rsidP="007C32A8">
      <w:pPr>
        <w:spacing w:line="360" w:lineRule="auto"/>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6.1</w:t>
      </w:r>
      <w:r w:rsidRPr="00762190">
        <w:rPr>
          <w:rFonts w:ascii="Times New Roman" w:hAnsi="Times New Roman" w:cs="Times New Roman"/>
          <w:sz w:val="28"/>
          <w:szCs w:val="28"/>
        </w:rPr>
        <w:t>. Динамика спроса на отдельные категории товаров</w:t>
      </w:r>
      <w:r>
        <w:rPr>
          <w:rFonts w:ascii="Times New Roman" w:hAnsi="Times New Roman" w:cs="Times New Roman"/>
          <w:sz w:val="28"/>
          <w:szCs w:val="28"/>
        </w:rPr>
        <w:t>,</w:t>
      </w:r>
      <w:r w:rsidRPr="00762190">
        <w:rPr>
          <w:rFonts w:ascii="Times New Roman" w:hAnsi="Times New Roman" w:cs="Times New Roman"/>
          <w:sz w:val="28"/>
          <w:szCs w:val="28"/>
        </w:rPr>
        <w:t xml:space="preserve"> % по отношению к аналогичному периоду прошлого года</w:t>
      </w:r>
    </w:p>
    <w:p w14:paraId="2D34A4B6" w14:textId="77777777" w:rsidR="007C32A8" w:rsidRPr="00762190" w:rsidRDefault="007C32A8" w:rsidP="007C32A8">
      <w:pPr>
        <w:spacing w:line="360" w:lineRule="auto"/>
        <w:rPr>
          <w:rFonts w:ascii="Times New Roman" w:hAnsi="Times New Roman" w:cs="Times New Roman"/>
          <w:i/>
          <w:iCs/>
          <w:sz w:val="28"/>
          <w:szCs w:val="28"/>
        </w:rPr>
      </w:pPr>
      <w:r w:rsidRPr="00762190">
        <w:rPr>
          <w:rFonts w:ascii="Times New Roman" w:hAnsi="Times New Roman" w:cs="Times New Roman"/>
          <w:i/>
          <w:iCs/>
          <w:sz w:val="28"/>
          <w:szCs w:val="28"/>
        </w:rPr>
        <w:t xml:space="preserve">Источник: </w:t>
      </w:r>
      <w:proofErr w:type="spellStart"/>
      <w:r w:rsidRPr="00762190">
        <w:rPr>
          <w:rFonts w:ascii="Times New Roman" w:hAnsi="Times New Roman" w:cs="Times New Roman"/>
          <w:i/>
          <w:iCs/>
          <w:sz w:val="28"/>
          <w:szCs w:val="28"/>
        </w:rPr>
        <w:t>Сбериндекс</w:t>
      </w:r>
      <w:proofErr w:type="spellEnd"/>
    </w:p>
    <w:p w14:paraId="579F9A8E"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Более подробные данные, о расходовании «детских» выплат в июне городскими жителями страны, опубликованы компанией «Ромир»</w:t>
      </w:r>
      <w:r w:rsidRPr="00762190">
        <w:rPr>
          <w:rStyle w:val="ad"/>
          <w:rFonts w:ascii="Times New Roman" w:hAnsi="Times New Roman" w:cs="Times New Roman"/>
          <w:sz w:val="28"/>
          <w:szCs w:val="28"/>
        </w:rPr>
        <w:footnoteReference w:id="38"/>
      </w:r>
      <w:r w:rsidRPr="00762190">
        <w:rPr>
          <w:rFonts w:ascii="Times New Roman" w:hAnsi="Times New Roman" w:cs="Times New Roman"/>
          <w:sz w:val="28"/>
          <w:szCs w:val="28"/>
        </w:rPr>
        <w:t>. Те семьи, которые испытывали финансовые проблемы с покрытием текущих расходов, потратили деньги на продукты. Оставшиеся семьи направили средства на покупку товаров для детей. Существенный рост спроса был зафиксирован в категориях «Спортивные товары», «Детская мебель», «Игрушки», «Музыкальные инструменты», «Аксессуары для компьютеров и гаджетов», «Велосипеды и аксессуары для них». Дополнительные расходы в этих категориях полностью соответствовали полученным суммам.</w:t>
      </w:r>
    </w:p>
    <w:p w14:paraId="20F91B85"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Так как выборка «Ромира» не включает сельских жителей, а «Сбербанк» зафиксировал рост расходов в сегменте «Товары для строительства и ремонта», можно сделать вывод, что именно сельские жители частично потратили выплаты на ремонт собственных домов.</w:t>
      </w:r>
    </w:p>
    <w:p w14:paraId="0FA1804E" w14:textId="77777777" w:rsidR="007C32A8" w:rsidRPr="00762190" w:rsidRDefault="007C32A8" w:rsidP="007C32A8">
      <w:pPr>
        <w:spacing w:line="360" w:lineRule="auto"/>
        <w:ind w:firstLine="709"/>
        <w:jc w:val="both"/>
        <w:rPr>
          <w:rFonts w:ascii="Times New Roman" w:hAnsi="Times New Roman" w:cs="Times New Roman"/>
          <w:sz w:val="28"/>
          <w:szCs w:val="28"/>
        </w:rPr>
      </w:pPr>
      <w:proofErr w:type="gramStart"/>
      <w:r w:rsidRPr="00762190">
        <w:rPr>
          <w:rFonts w:ascii="Times New Roman" w:hAnsi="Times New Roman" w:cs="Times New Roman"/>
          <w:sz w:val="28"/>
          <w:szCs w:val="28"/>
        </w:rPr>
        <w:t>Вместе с тем,</w:t>
      </w:r>
      <w:proofErr w:type="gramEnd"/>
      <w:r w:rsidRPr="00762190">
        <w:rPr>
          <w:rFonts w:ascii="Times New Roman" w:hAnsi="Times New Roman" w:cs="Times New Roman"/>
          <w:sz w:val="28"/>
          <w:szCs w:val="28"/>
        </w:rPr>
        <w:t xml:space="preserve"> часть средств люди направили на погашение долгов. В частности, некоторые микрофинансовые организации зафиксировали резкий рост платежей в первые дни, после перечисления социальных выплат населению</w:t>
      </w:r>
      <w:r w:rsidRPr="00762190">
        <w:rPr>
          <w:rStyle w:val="ad"/>
          <w:rFonts w:ascii="Times New Roman" w:hAnsi="Times New Roman" w:cs="Times New Roman"/>
          <w:sz w:val="28"/>
          <w:szCs w:val="28"/>
        </w:rPr>
        <w:footnoteReference w:id="39"/>
      </w:r>
      <w:r w:rsidRPr="00762190">
        <w:rPr>
          <w:rFonts w:ascii="Times New Roman" w:hAnsi="Times New Roman" w:cs="Times New Roman"/>
          <w:sz w:val="28"/>
          <w:szCs w:val="28"/>
        </w:rPr>
        <w:t>. Схожей картины можно было ожидать и с банковской кредитной задолженностью, а также с долгами по ЖКХ.</w:t>
      </w:r>
    </w:p>
    <w:p w14:paraId="41C3F2A6"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Таким образом, каждая отдельная семья самостоятельно определила, на решение какой насущной проблемы потратить деньги. </w:t>
      </w:r>
      <w:proofErr w:type="gramStart"/>
      <w:r w:rsidRPr="00762190">
        <w:rPr>
          <w:rFonts w:ascii="Times New Roman" w:hAnsi="Times New Roman" w:cs="Times New Roman"/>
          <w:sz w:val="28"/>
          <w:szCs w:val="28"/>
        </w:rPr>
        <w:t>При этом,</w:t>
      </w:r>
      <w:proofErr w:type="gramEnd"/>
      <w:r w:rsidRPr="00762190">
        <w:rPr>
          <w:rFonts w:ascii="Times New Roman" w:hAnsi="Times New Roman" w:cs="Times New Roman"/>
          <w:sz w:val="28"/>
          <w:szCs w:val="28"/>
        </w:rPr>
        <w:t xml:space="preserve"> средства попадали на конкурентные рынки, а, значит, спрос увеличивался только на ту продукцию, которая соответствовала требованиям к качеству со стороны потребителей. Более того, выплаты </w:t>
      </w:r>
      <w:r>
        <w:rPr>
          <w:rFonts w:ascii="Times New Roman" w:hAnsi="Times New Roman" w:cs="Times New Roman"/>
          <w:sz w:val="28"/>
          <w:szCs w:val="28"/>
        </w:rPr>
        <w:t>получили</w:t>
      </w:r>
      <w:r w:rsidRPr="00762190">
        <w:rPr>
          <w:rFonts w:ascii="Times New Roman" w:hAnsi="Times New Roman" w:cs="Times New Roman"/>
          <w:sz w:val="28"/>
          <w:szCs w:val="28"/>
        </w:rPr>
        <w:t xml:space="preserve"> около 90% бедных семей, чем может похвастаться не каждая адресная мера поддержки нуждающихся. Поэтому подобные выплаты можно считать эффективными не только с точки зрения </w:t>
      </w:r>
      <w:r>
        <w:rPr>
          <w:rFonts w:ascii="Times New Roman" w:hAnsi="Times New Roman" w:cs="Times New Roman"/>
          <w:sz w:val="28"/>
          <w:szCs w:val="28"/>
        </w:rPr>
        <w:t>поддержания уровня жизни населения</w:t>
      </w:r>
      <w:r w:rsidRPr="00762190">
        <w:rPr>
          <w:rFonts w:ascii="Times New Roman" w:hAnsi="Times New Roman" w:cs="Times New Roman"/>
          <w:sz w:val="28"/>
          <w:szCs w:val="28"/>
        </w:rPr>
        <w:t>, но и с точки зрения поддержки различных отраслей отечественной экономики</w:t>
      </w:r>
      <w:r>
        <w:rPr>
          <w:rFonts w:ascii="Times New Roman" w:hAnsi="Times New Roman" w:cs="Times New Roman"/>
          <w:sz w:val="28"/>
          <w:szCs w:val="28"/>
        </w:rPr>
        <w:t>, так как большая часть средств была потрачена на товары отечественного производства</w:t>
      </w:r>
      <w:r w:rsidRPr="00762190">
        <w:rPr>
          <w:rFonts w:ascii="Times New Roman" w:hAnsi="Times New Roman" w:cs="Times New Roman"/>
          <w:sz w:val="28"/>
          <w:szCs w:val="28"/>
        </w:rPr>
        <w:t>.</w:t>
      </w:r>
    </w:p>
    <w:p w14:paraId="15409AA1"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Тем не менее, на наш взгляд, было бы целесообразно направить выплаты не только детям младше трудоспособного возраста, но всем детям до 18 лет. Понятие «совершеннолетие» в общественном сознании является той отметкой, достигнув которую человек из ребенка превращается во взрослого. Большинство </w:t>
      </w:r>
      <w:proofErr w:type="gramStart"/>
      <w:r w:rsidRPr="00762190">
        <w:rPr>
          <w:rFonts w:ascii="Times New Roman" w:hAnsi="Times New Roman" w:cs="Times New Roman"/>
          <w:sz w:val="28"/>
          <w:szCs w:val="28"/>
        </w:rPr>
        <w:t>16-17</w:t>
      </w:r>
      <w:proofErr w:type="gramEnd"/>
      <w:r w:rsidRPr="00762190">
        <w:rPr>
          <w:rFonts w:ascii="Times New Roman" w:hAnsi="Times New Roman" w:cs="Times New Roman"/>
          <w:sz w:val="28"/>
          <w:szCs w:val="28"/>
        </w:rPr>
        <w:t>-летних подростков, несмотря на то что у них появляется право официально работать, продолжают</w:t>
      </w:r>
      <w:r>
        <w:rPr>
          <w:rFonts w:ascii="Times New Roman" w:hAnsi="Times New Roman" w:cs="Times New Roman"/>
          <w:sz w:val="28"/>
          <w:szCs w:val="28"/>
        </w:rPr>
        <w:t xml:space="preserve"> получать</w:t>
      </w:r>
      <w:r w:rsidRPr="00762190">
        <w:rPr>
          <w:rFonts w:ascii="Times New Roman" w:hAnsi="Times New Roman" w:cs="Times New Roman"/>
          <w:sz w:val="28"/>
          <w:szCs w:val="28"/>
        </w:rPr>
        <w:t xml:space="preserve"> содержа</w:t>
      </w:r>
      <w:r>
        <w:rPr>
          <w:rFonts w:ascii="Times New Roman" w:hAnsi="Times New Roman" w:cs="Times New Roman"/>
          <w:sz w:val="28"/>
          <w:szCs w:val="28"/>
        </w:rPr>
        <w:t>ние от</w:t>
      </w:r>
      <w:r w:rsidRPr="00762190">
        <w:rPr>
          <w:rFonts w:ascii="Times New Roman" w:hAnsi="Times New Roman" w:cs="Times New Roman"/>
          <w:sz w:val="28"/>
          <w:szCs w:val="28"/>
        </w:rPr>
        <w:t xml:space="preserve"> родителей. </w:t>
      </w:r>
    </w:p>
    <w:p w14:paraId="6A78E189" w14:textId="77777777" w:rsidR="007C32A8"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Несмотря на это, общий эффект от выплат, с социальной точки зрения, оказался положительным. Уровень напряженности в обществе заметно снизился, что было особенно важно накануне голосования</w:t>
      </w:r>
      <w:r>
        <w:rPr>
          <w:rFonts w:ascii="Times New Roman" w:hAnsi="Times New Roman" w:cs="Times New Roman"/>
          <w:sz w:val="28"/>
          <w:szCs w:val="28"/>
        </w:rPr>
        <w:t xml:space="preserve"> по поправкам в Конституцию России</w:t>
      </w:r>
      <w:r w:rsidRPr="00762190">
        <w:rPr>
          <w:rFonts w:ascii="Times New Roman" w:hAnsi="Times New Roman" w:cs="Times New Roman"/>
          <w:sz w:val="28"/>
          <w:szCs w:val="28"/>
        </w:rPr>
        <w:t xml:space="preserve">. </w:t>
      </w:r>
      <w:r>
        <w:rPr>
          <w:rFonts w:ascii="Times New Roman" w:hAnsi="Times New Roman" w:cs="Times New Roman"/>
          <w:sz w:val="28"/>
          <w:szCs w:val="28"/>
        </w:rPr>
        <w:t>При этом с</w:t>
      </w:r>
      <w:r w:rsidRPr="00762190">
        <w:rPr>
          <w:rFonts w:ascii="Times New Roman" w:hAnsi="Times New Roman" w:cs="Times New Roman"/>
          <w:sz w:val="28"/>
          <w:szCs w:val="28"/>
        </w:rPr>
        <w:t>ами выплаты в момент их объявления были увязаны с</w:t>
      </w:r>
      <w:r>
        <w:rPr>
          <w:rFonts w:ascii="Times New Roman" w:hAnsi="Times New Roman" w:cs="Times New Roman"/>
          <w:sz w:val="28"/>
          <w:szCs w:val="28"/>
        </w:rPr>
        <w:t xml:space="preserve"> указанными</w:t>
      </w:r>
      <w:r w:rsidRPr="00762190">
        <w:rPr>
          <w:rFonts w:ascii="Times New Roman" w:hAnsi="Times New Roman" w:cs="Times New Roman"/>
          <w:sz w:val="28"/>
          <w:szCs w:val="28"/>
        </w:rPr>
        <w:t xml:space="preserve"> поправк</w:t>
      </w:r>
      <w:r>
        <w:rPr>
          <w:rFonts w:ascii="Times New Roman" w:hAnsi="Times New Roman" w:cs="Times New Roman"/>
          <w:sz w:val="28"/>
          <w:szCs w:val="28"/>
        </w:rPr>
        <w:t>ами</w:t>
      </w:r>
      <w:r w:rsidRPr="00762190">
        <w:rPr>
          <w:rFonts w:ascii="Times New Roman" w:hAnsi="Times New Roman" w:cs="Times New Roman"/>
          <w:sz w:val="28"/>
          <w:szCs w:val="28"/>
        </w:rPr>
        <w:t>, в соответствии с</w:t>
      </w:r>
      <w:r>
        <w:rPr>
          <w:rFonts w:ascii="Times New Roman" w:hAnsi="Times New Roman" w:cs="Times New Roman"/>
          <w:sz w:val="28"/>
          <w:szCs w:val="28"/>
        </w:rPr>
        <w:t xml:space="preserve"> одной из</w:t>
      </w:r>
      <w:r w:rsidRPr="00762190">
        <w:rPr>
          <w:rFonts w:ascii="Times New Roman" w:hAnsi="Times New Roman" w:cs="Times New Roman"/>
          <w:sz w:val="28"/>
          <w:szCs w:val="28"/>
        </w:rPr>
        <w:t xml:space="preserve"> котор</w:t>
      </w:r>
      <w:r>
        <w:rPr>
          <w:rFonts w:ascii="Times New Roman" w:hAnsi="Times New Roman" w:cs="Times New Roman"/>
          <w:sz w:val="28"/>
          <w:szCs w:val="28"/>
        </w:rPr>
        <w:t>ых</w:t>
      </w:r>
      <w:r w:rsidRPr="00762190">
        <w:rPr>
          <w:rFonts w:ascii="Times New Roman" w:hAnsi="Times New Roman" w:cs="Times New Roman"/>
          <w:sz w:val="28"/>
          <w:szCs w:val="28"/>
        </w:rPr>
        <w:t xml:space="preserve"> дети признаются «важнейшим приоритетом государственной политики России»</w:t>
      </w:r>
      <w:r w:rsidRPr="00762190">
        <w:rPr>
          <w:rStyle w:val="ad"/>
          <w:rFonts w:ascii="Times New Roman" w:hAnsi="Times New Roman" w:cs="Times New Roman"/>
          <w:sz w:val="28"/>
          <w:szCs w:val="28"/>
        </w:rPr>
        <w:footnoteReference w:id="40"/>
      </w:r>
      <w:r w:rsidRPr="00762190">
        <w:rPr>
          <w:rFonts w:ascii="Times New Roman" w:hAnsi="Times New Roman" w:cs="Times New Roman"/>
          <w:sz w:val="28"/>
          <w:szCs w:val="28"/>
        </w:rPr>
        <w:t>.</w:t>
      </w:r>
    </w:p>
    <w:p w14:paraId="3A7136D0"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Удовлетворить запрос на ощутимые для населения реформы можно посредством поэтапного введения </w:t>
      </w:r>
      <w:r>
        <w:rPr>
          <w:rFonts w:ascii="Times New Roman" w:hAnsi="Times New Roman" w:cs="Times New Roman"/>
          <w:sz w:val="28"/>
          <w:szCs w:val="28"/>
        </w:rPr>
        <w:t>ББД</w:t>
      </w:r>
      <w:r w:rsidRPr="00762190">
        <w:rPr>
          <w:rFonts w:ascii="Times New Roman" w:hAnsi="Times New Roman" w:cs="Times New Roman"/>
          <w:sz w:val="28"/>
          <w:szCs w:val="28"/>
        </w:rPr>
        <w:t xml:space="preserve"> сначала для семей с детьми, а затем, при необходимости и возможности, полноценного </w:t>
      </w:r>
      <w:r>
        <w:rPr>
          <w:rFonts w:ascii="Times New Roman" w:hAnsi="Times New Roman" w:cs="Times New Roman"/>
          <w:sz w:val="28"/>
          <w:szCs w:val="28"/>
        </w:rPr>
        <w:t>ББД</w:t>
      </w:r>
      <w:r w:rsidRPr="00762190">
        <w:rPr>
          <w:rFonts w:ascii="Times New Roman" w:hAnsi="Times New Roman" w:cs="Times New Roman"/>
          <w:sz w:val="28"/>
          <w:szCs w:val="28"/>
        </w:rPr>
        <w:t xml:space="preserve"> для всех граждан. Этапы введения семейного базового дохода могут быть следующие:</w:t>
      </w:r>
    </w:p>
    <w:p w14:paraId="24508E93" w14:textId="77777777" w:rsidR="007C32A8" w:rsidRPr="00762190" w:rsidRDefault="007C32A8" w:rsidP="007C32A8">
      <w:pPr>
        <w:pStyle w:val="a5"/>
        <w:numPr>
          <w:ilvl w:val="0"/>
          <w:numId w:val="2"/>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lang w:val="en-US"/>
        </w:rPr>
        <w:t>I</w:t>
      </w:r>
      <w:r w:rsidRPr="00762190">
        <w:rPr>
          <w:rFonts w:ascii="Times New Roman" w:hAnsi="Times New Roman" w:cs="Times New Roman"/>
          <w:sz w:val="28"/>
          <w:szCs w:val="28"/>
        </w:rPr>
        <w:t xml:space="preserve"> этап – 1/2 прожиточного минимума</w:t>
      </w:r>
      <w:r>
        <w:rPr>
          <w:rFonts w:ascii="Times New Roman" w:hAnsi="Times New Roman" w:cs="Times New Roman"/>
          <w:sz w:val="28"/>
          <w:szCs w:val="28"/>
        </w:rPr>
        <w:t xml:space="preserve"> в месяц</w:t>
      </w:r>
      <w:r w:rsidRPr="00762190">
        <w:rPr>
          <w:rFonts w:ascii="Times New Roman" w:hAnsi="Times New Roman" w:cs="Times New Roman"/>
          <w:sz w:val="28"/>
          <w:szCs w:val="28"/>
        </w:rPr>
        <w:t xml:space="preserve">, установленного в регионе регистрации, на каждого ребенка в возрасте до 18 </w:t>
      </w:r>
      <w:proofErr w:type="gramStart"/>
      <w:r w:rsidRPr="00762190">
        <w:rPr>
          <w:rFonts w:ascii="Times New Roman" w:hAnsi="Times New Roman" w:cs="Times New Roman"/>
          <w:sz w:val="28"/>
          <w:szCs w:val="28"/>
        </w:rPr>
        <w:t>лет;</w:t>
      </w:r>
      <w:proofErr w:type="gramEnd"/>
    </w:p>
    <w:p w14:paraId="417A5C0B" w14:textId="77777777" w:rsidR="007C32A8" w:rsidRPr="00762190" w:rsidRDefault="007C32A8" w:rsidP="007C32A8">
      <w:pPr>
        <w:pStyle w:val="a5"/>
        <w:numPr>
          <w:ilvl w:val="0"/>
          <w:numId w:val="2"/>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lang w:val="en-US"/>
        </w:rPr>
        <w:t>II</w:t>
      </w:r>
      <w:r w:rsidRPr="00762190">
        <w:rPr>
          <w:rFonts w:ascii="Times New Roman" w:hAnsi="Times New Roman" w:cs="Times New Roman"/>
          <w:sz w:val="28"/>
          <w:szCs w:val="28"/>
        </w:rPr>
        <w:t xml:space="preserve"> этап – 1/2 прожиточного минимума</w:t>
      </w:r>
      <w:r>
        <w:rPr>
          <w:rFonts w:ascii="Times New Roman" w:hAnsi="Times New Roman" w:cs="Times New Roman"/>
          <w:sz w:val="28"/>
          <w:szCs w:val="28"/>
        </w:rPr>
        <w:t xml:space="preserve"> в месяц</w:t>
      </w:r>
      <w:r w:rsidRPr="00762190">
        <w:rPr>
          <w:rFonts w:ascii="Times New Roman" w:hAnsi="Times New Roman" w:cs="Times New Roman"/>
          <w:sz w:val="28"/>
          <w:szCs w:val="28"/>
        </w:rPr>
        <w:t xml:space="preserve">, установленного в регионе регистрации, на каждую женщину, у которой есть ребенок в возрасте до 18 </w:t>
      </w:r>
      <w:proofErr w:type="gramStart"/>
      <w:r w:rsidRPr="00762190">
        <w:rPr>
          <w:rFonts w:ascii="Times New Roman" w:hAnsi="Times New Roman" w:cs="Times New Roman"/>
          <w:sz w:val="28"/>
          <w:szCs w:val="28"/>
        </w:rPr>
        <w:t>лет;</w:t>
      </w:r>
      <w:proofErr w:type="gramEnd"/>
    </w:p>
    <w:p w14:paraId="0E29E625" w14:textId="77777777" w:rsidR="007C32A8" w:rsidRPr="00762190" w:rsidRDefault="007C32A8" w:rsidP="007C32A8">
      <w:pPr>
        <w:pStyle w:val="a5"/>
        <w:numPr>
          <w:ilvl w:val="0"/>
          <w:numId w:val="2"/>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lang w:val="en-US"/>
        </w:rPr>
        <w:t>III</w:t>
      </w:r>
      <w:r w:rsidRPr="00762190">
        <w:rPr>
          <w:rFonts w:ascii="Times New Roman" w:hAnsi="Times New Roman" w:cs="Times New Roman"/>
          <w:sz w:val="28"/>
          <w:szCs w:val="28"/>
        </w:rPr>
        <w:t xml:space="preserve"> этап – 1/2 прожиточного минимума</w:t>
      </w:r>
      <w:r>
        <w:rPr>
          <w:rFonts w:ascii="Times New Roman" w:hAnsi="Times New Roman" w:cs="Times New Roman"/>
          <w:sz w:val="28"/>
          <w:szCs w:val="28"/>
        </w:rPr>
        <w:t xml:space="preserve"> в месяц</w:t>
      </w:r>
      <w:r w:rsidRPr="00762190">
        <w:rPr>
          <w:rFonts w:ascii="Times New Roman" w:hAnsi="Times New Roman" w:cs="Times New Roman"/>
          <w:sz w:val="28"/>
          <w:szCs w:val="28"/>
        </w:rPr>
        <w:t>, установленного в регионе регистрации, на каждого мужчину, у которого есть ребенок в возрасте до 18 лет.</w:t>
      </w:r>
    </w:p>
    <w:p w14:paraId="786ECC3D"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Средний размер выплат на ребенка в 2019 г</w:t>
      </w:r>
      <w:r>
        <w:rPr>
          <w:rFonts w:ascii="Times New Roman" w:hAnsi="Times New Roman" w:cs="Times New Roman"/>
          <w:sz w:val="28"/>
          <w:szCs w:val="28"/>
        </w:rPr>
        <w:t>.</w:t>
      </w:r>
      <w:r w:rsidRPr="00762190">
        <w:rPr>
          <w:rFonts w:ascii="Times New Roman" w:hAnsi="Times New Roman" w:cs="Times New Roman"/>
          <w:sz w:val="28"/>
          <w:szCs w:val="28"/>
        </w:rPr>
        <w:t>, используя старую методологию расчета прожиточного минимума, составил бы 5</w:t>
      </w:r>
      <w:r>
        <w:rPr>
          <w:rFonts w:ascii="Times New Roman" w:hAnsi="Times New Roman" w:cs="Times New Roman"/>
          <w:sz w:val="28"/>
          <w:szCs w:val="28"/>
        </w:rPr>
        <w:t> </w:t>
      </w:r>
      <w:r w:rsidRPr="00762190">
        <w:rPr>
          <w:rFonts w:ascii="Times New Roman" w:hAnsi="Times New Roman" w:cs="Times New Roman"/>
          <w:sz w:val="28"/>
          <w:szCs w:val="28"/>
        </w:rPr>
        <w:t>627</w:t>
      </w:r>
      <w:r w:rsidRPr="00C565E0">
        <w:rPr>
          <w:rFonts w:ascii="Times New Roman" w:hAnsi="Times New Roman" w:cs="Times New Roman"/>
          <w:sz w:val="28"/>
          <w:szCs w:val="28"/>
        </w:rPr>
        <w:t xml:space="preserve"> </w:t>
      </w:r>
      <w:r>
        <w:rPr>
          <w:rFonts w:ascii="Times New Roman" w:hAnsi="Times New Roman" w:cs="Times New Roman"/>
          <w:sz w:val="28"/>
          <w:szCs w:val="28"/>
        </w:rPr>
        <w:t>руб.</w:t>
      </w:r>
      <w:r w:rsidRPr="00762190">
        <w:rPr>
          <w:rFonts w:ascii="Times New Roman" w:hAnsi="Times New Roman" w:cs="Times New Roman"/>
          <w:sz w:val="28"/>
          <w:szCs w:val="28"/>
        </w:rPr>
        <w:t>, а на родителя – 6</w:t>
      </w:r>
      <w:r>
        <w:rPr>
          <w:rFonts w:ascii="Times New Roman" w:hAnsi="Times New Roman" w:cs="Times New Roman"/>
          <w:sz w:val="28"/>
          <w:szCs w:val="28"/>
        </w:rPr>
        <w:t> </w:t>
      </w:r>
      <w:r w:rsidRPr="00762190">
        <w:rPr>
          <w:rFonts w:ascii="Times New Roman" w:hAnsi="Times New Roman" w:cs="Times New Roman"/>
          <w:sz w:val="28"/>
          <w:szCs w:val="28"/>
        </w:rPr>
        <w:t>184</w:t>
      </w:r>
      <w:r>
        <w:rPr>
          <w:rFonts w:ascii="Times New Roman" w:hAnsi="Times New Roman" w:cs="Times New Roman"/>
          <w:sz w:val="28"/>
          <w:szCs w:val="28"/>
        </w:rPr>
        <w:t xml:space="preserve"> руб</w:t>
      </w:r>
      <w:r w:rsidRPr="00762190">
        <w:rPr>
          <w:rFonts w:ascii="Times New Roman" w:hAnsi="Times New Roman" w:cs="Times New Roman"/>
          <w:sz w:val="28"/>
          <w:szCs w:val="28"/>
        </w:rPr>
        <w:t>.</w:t>
      </w:r>
    </w:p>
    <w:p w14:paraId="4D9E4635"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Для оценки макроэкономических последствий реализации данных этапов, была использована динамическая модель межотраслевого баланса с эндогенными векторами расходов на конечное потребление домашних хозяйств и государства, частных и государственных инвестиций, и, частично, импорта. Технологические коэффициенты модели были рассчитаны на основании симметричной таблицы затраты-выпуск за 2016 г</w:t>
      </w:r>
      <w:r>
        <w:rPr>
          <w:rFonts w:ascii="Times New Roman" w:hAnsi="Times New Roman" w:cs="Times New Roman"/>
          <w:sz w:val="28"/>
          <w:szCs w:val="28"/>
        </w:rPr>
        <w:t>.</w:t>
      </w:r>
      <w:r w:rsidRPr="00762190">
        <w:rPr>
          <w:rFonts w:ascii="Times New Roman" w:hAnsi="Times New Roman" w:cs="Times New Roman"/>
          <w:sz w:val="28"/>
          <w:szCs w:val="28"/>
        </w:rPr>
        <w:t>, опубликованной Росстатом.</w:t>
      </w:r>
    </w:p>
    <w:p w14:paraId="4BF83772"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С целью более точного воспроизведения реакции потребительского спроса на изменение распределения доходов, сектор домашних хозяйств был разбит на </w:t>
      </w:r>
      <w:proofErr w:type="spellStart"/>
      <w:r w:rsidRPr="00762190">
        <w:rPr>
          <w:rFonts w:ascii="Times New Roman" w:hAnsi="Times New Roman" w:cs="Times New Roman"/>
          <w:sz w:val="28"/>
          <w:szCs w:val="28"/>
        </w:rPr>
        <w:t>децильные</w:t>
      </w:r>
      <w:proofErr w:type="spellEnd"/>
      <w:r w:rsidRPr="00762190">
        <w:rPr>
          <w:rFonts w:ascii="Times New Roman" w:hAnsi="Times New Roman" w:cs="Times New Roman"/>
          <w:sz w:val="28"/>
          <w:szCs w:val="28"/>
        </w:rPr>
        <w:t xml:space="preserve"> группы. Для каждой </w:t>
      </w:r>
      <w:proofErr w:type="spellStart"/>
      <w:r w:rsidRPr="00762190">
        <w:rPr>
          <w:rFonts w:ascii="Times New Roman" w:hAnsi="Times New Roman" w:cs="Times New Roman"/>
          <w:sz w:val="28"/>
          <w:szCs w:val="28"/>
        </w:rPr>
        <w:t>децильной</w:t>
      </w:r>
      <w:proofErr w:type="spellEnd"/>
      <w:r w:rsidRPr="00762190">
        <w:rPr>
          <w:rFonts w:ascii="Times New Roman" w:hAnsi="Times New Roman" w:cs="Times New Roman"/>
          <w:sz w:val="28"/>
          <w:szCs w:val="28"/>
        </w:rPr>
        <w:t xml:space="preserve"> группы была рассчитана доля расходов на конечное потребление в располагаемых денежных доходах (рис. </w:t>
      </w:r>
      <w:r>
        <w:rPr>
          <w:rFonts w:ascii="Times New Roman" w:hAnsi="Times New Roman" w:cs="Times New Roman"/>
          <w:sz w:val="28"/>
          <w:szCs w:val="28"/>
        </w:rPr>
        <w:t>6.2</w:t>
      </w:r>
      <w:r w:rsidRPr="00762190">
        <w:rPr>
          <w:rFonts w:ascii="Times New Roman" w:hAnsi="Times New Roman" w:cs="Times New Roman"/>
          <w:sz w:val="28"/>
          <w:szCs w:val="28"/>
        </w:rPr>
        <w:t>).</w:t>
      </w:r>
    </w:p>
    <w:p w14:paraId="0C73E23D" w14:textId="77777777" w:rsidR="007C32A8" w:rsidRPr="00762190" w:rsidRDefault="007C32A8" w:rsidP="007C32A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B0B9FD7" wp14:editId="17FFC523">
            <wp:extent cx="4572000" cy="2286000"/>
            <wp:effectExtent l="0" t="0" r="12700" b="127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BAFF1F" w14:textId="77777777" w:rsidR="007C32A8" w:rsidRPr="00762190"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6.2</w:t>
      </w:r>
      <w:r w:rsidRPr="00762190">
        <w:rPr>
          <w:rFonts w:ascii="Times New Roman" w:hAnsi="Times New Roman" w:cs="Times New Roman"/>
          <w:sz w:val="28"/>
          <w:szCs w:val="28"/>
        </w:rPr>
        <w:t xml:space="preserve">. </w:t>
      </w:r>
      <w:r>
        <w:rPr>
          <w:rFonts w:ascii="Times New Roman" w:hAnsi="Times New Roman" w:cs="Times New Roman"/>
          <w:sz w:val="28"/>
          <w:szCs w:val="28"/>
        </w:rPr>
        <w:t>Средняя д</w:t>
      </w:r>
      <w:r w:rsidRPr="00762190">
        <w:rPr>
          <w:rFonts w:ascii="Times New Roman" w:hAnsi="Times New Roman" w:cs="Times New Roman"/>
          <w:sz w:val="28"/>
          <w:szCs w:val="28"/>
        </w:rPr>
        <w:t>оля потребительских расходов в денежных доходах населения</w:t>
      </w:r>
      <w:r>
        <w:rPr>
          <w:rFonts w:ascii="Times New Roman" w:hAnsi="Times New Roman" w:cs="Times New Roman"/>
          <w:sz w:val="28"/>
          <w:szCs w:val="28"/>
        </w:rPr>
        <w:t xml:space="preserve"> в </w:t>
      </w:r>
      <w:proofErr w:type="gramStart"/>
      <w:r>
        <w:rPr>
          <w:rFonts w:ascii="Times New Roman" w:hAnsi="Times New Roman" w:cs="Times New Roman"/>
          <w:sz w:val="28"/>
          <w:szCs w:val="28"/>
        </w:rPr>
        <w:t>2013-2018</w:t>
      </w:r>
      <w:proofErr w:type="gramEnd"/>
      <w:r>
        <w:rPr>
          <w:rFonts w:ascii="Times New Roman" w:hAnsi="Times New Roman" w:cs="Times New Roman"/>
          <w:sz w:val="28"/>
          <w:szCs w:val="28"/>
        </w:rPr>
        <w:t xml:space="preserve"> гг.</w:t>
      </w:r>
    </w:p>
    <w:p w14:paraId="24DA349C" w14:textId="77777777" w:rsidR="007C32A8" w:rsidRPr="00762190" w:rsidRDefault="007C32A8" w:rsidP="007C32A8">
      <w:pPr>
        <w:spacing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 по данным Росстата</w:t>
      </w:r>
    </w:p>
    <w:p w14:paraId="6221112C"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Из-за отсутствия данных о дол</w:t>
      </w:r>
      <w:r>
        <w:rPr>
          <w:rFonts w:ascii="Times New Roman" w:hAnsi="Times New Roman" w:cs="Times New Roman"/>
          <w:sz w:val="28"/>
          <w:szCs w:val="28"/>
        </w:rPr>
        <w:t>е</w:t>
      </w:r>
      <w:r w:rsidRPr="00762190">
        <w:rPr>
          <w:rFonts w:ascii="Times New Roman" w:hAnsi="Times New Roman" w:cs="Times New Roman"/>
          <w:sz w:val="28"/>
          <w:szCs w:val="28"/>
        </w:rPr>
        <w:t xml:space="preserve"> расходов на импортную продукцию в совокупных расходах домашних хозяйств на конечное потребление по </w:t>
      </w:r>
      <w:proofErr w:type="spellStart"/>
      <w:r w:rsidRPr="00762190">
        <w:rPr>
          <w:rFonts w:ascii="Times New Roman" w:hAnsi="Times New Roman" w:cs="Times New Roman"/>
          <w:sz w:val="28"/>
          <w:szCs w:val="28"/>
        </w:rPr>
        <w:t>децильным</w:t>
      </w:r>
      <w:proofErr w:type="spellEnd"/>
      <w:r w:rsidRPr="00762190">
        <w:rPr>
          <w:rFonts w:ascii="Times New Roman" w:hAnsi="Times New Roman" w:cs="Times New Roman"/>
          <w:sz w:val="28"/>
          <w:szCs w:val="28"/>
        </w:rPr>
        <w:t xml:space="preserve"> группам была использована предпосылка об экспоненциальном распределении этой доли.</w:t>
      </w:r>
    </w:p>
    <w:p w14:paraId="299CB049" w14:textId="77777777" w:rsidR="007C32A8" w:rsidRPr="00762190" w:rsidRDefault="007C32A8" w:rsidP="007C32A8">
      <w:pPr>
        <w:spacing w:line="360" w:lineRule="auto"/>
        <w:jc w:val="center"/>
        <w:rPr>
          <w:rFonts w:ascii="Times New Roman" w:hAnsi="Times New Roman" w:cs="Times New Roman"/>
          <w:sz w:val="28"/>
          <w:szCs w:val="28"/>
        </w:rPr>
      </w:pPr>
      <w:r w:rsidRPr="00762190">
        <w:rPr>
          <w:noProof/>
          <w:sz w:val="24"/>
          <w:szCs w:val="24"/>
          <w:lang w:eastAsia="ru-RU"/>
        </w:rPr>
        <w:drawing>
          <wp:inline distT="0" distB="0" distL="0" distR="0" wp14:anchorId="4A3A94E0" wp14:editId="446E21F4">
            <wp:extent cx="4572000" cy="2314575"/>
            <wp:effectExtent l="0" t="0" r="0" b="9525"/>
            <wp:docPr id="4" name="Диаграмма 4">
              <a:extLst xmlns:a="http://schemas.openxmlformats.org/drawingml/2006/main">
                <a:ext uri="{FF2B5EF4-FFF2-40B4-BE49-F238E27FC236}">
                  <a16:creationId xmlns:a16="http://schemas.microsoft.com/office/drawing/2014/main" id="{51C508FA-EC1E-4E3F-AEC1-ECEDB5777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239830" w14:textId="77777777" w:rsidR="007C32A8" w:rsidRPr="00762190"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w:t>
      </w:r>
      <w:r w:rsidRPr="00762190">
        <w:rPr>
          <w:rFonts w:ascii="Times New Roman" w:hAnsi="Times New Roman" w:cs="Times New Roman"/>
          <w:sz w:val="28"/>
          <w:szCs w:val="28"/>
        </w:rPr>
        <w:t>.</w:t>
      </w:r>
      <w:r>
        <w:rPr>
          <w:rFonts w:ascii="Times New Roman" w:hAnsi="Times New Roman" w:cs="Times New Roman"/>
          <w:sz w:val="28"/>
          <w:szCs w:val="28"/>
        </w:rPr>
        <w:t>3.</w:t>
      </w:r>
      <w:r w:rsidRPr="00762190">
        <w:rPr>
          <w:rFonts w:ascii="Times New Roman" w:hAnsi="Times New Roman" w:cs="Times New Roman"/>
          <w:sz w:val="28"/>
          <w:szCs w:val="28"/>
        </w:rPr>
        <w:t xml:space="preserve"> </w:t>
      </w:r>
      <w:r>
        <w:rPr>
          <w:rFonts w:ascii="Times New Roman" w:hAnsi="Times New Roman" w:cs="Times New Roman"/>
          <w:sz w:val="28"/>
          <w:szCs w:val="28"/>
        </w:rPr>
        <w:t>Предполагаемая д</w:t>
      </w:r>
      <w:r w:rsidRPr="00762190">
        <w:rPr>
          <w:rFonts w:ascii="Times New Roman" w:hAnsi="Times New Roman" w:cs="Times New Roman"/>
          <w:sz w:val="28"/>
          <w:szCs w:val="28"/>
        </w:rPr>
        <w:t>оля денежных расходов на отечественную</w:t>
      </w:r>
      <w:r>
        <w:rPr>
          <w:rFonts w:ascii="Times New Roman" w:hAnsi="Times New Roman" w:cs="Times New Roman"/>
          <w:sz w:val="28"/>
          <w:szCs w:val="28"/>
        </w:rPr>
        <w:t xml:space="preserve"> (</w:t>
      </w:r>
      <w:r w:rsidRPr="006C0524">
        <w:rPr>
          <w:rFonts w:ascii="Times New Roman" w:hAnsi="Times New Roman" w:cs="Times New Roman"/>
          <w:sz w:val="28"/>
          <w:szCs w:val="28"/>
        </w:rPr>
        <w:t>синий цвет</w:t>
      </w:r>
      <w:r>
        <w:rPr>
          <w:rFonts w:ascii="Times New Roman" w:hAnsi="Times New Roman" w:cs="Times New Roman"/>
          <w:sz w:val="28"/>
          <w:szCs w:val="28"/>
        </w:rPr>
        <w:t>)</w:t>
      </w:r>
      <w:r w:rsidRPr="00762190">
        <w:rPr>
          <w:rFonts w:ascii="Times New Roman" w:hAnsi="Times New Roman" w:cs="Times New Roman"/>
          <w:sz w:val="28"/>
          <w:szCs w:val="28"/>
        </w:rPr>
        <w:t xml:space="preserve"> и импортную продукцию</w:t>
      </w:r>
      <w:r>
        <w:rPr>
          <w:rFonts w:ascii="Times New Roman" w:hAnsi="Times New Roman" w:cs="Times New Roman"/>
          <w:sz w:val="28"/>
          <w:szCs w:val="28"/>
        </w:rPr>
        <w:t xml:space="preserve"> (</w:t>
      </w:r>
      <w:r w:rsidRPr="006C0524">
        <w:rPr>
          <w:rFonts w:ascii="Times New Roman" w:hAnsi="Times New Roman" w:cs="Times New Roman"/>
          <w:sz w:val="28"/>
          <w:szCs w:val="28"/>
        </w:rPr>
        <w:t>оранжевый цвет</w:t>
      </w:r>
      <w:r>
        <w:rPr>
          <w:rFonts w:ascii="Times New Roman" w:hAnsi="Times New Roman" w:cs="Times New Roman"/>
          <w:sz w:val="28"/>
          <w:szCs w:val="28"/>
        </w:rPr>
        <w:t>)</w:t>
      </w:r>
      <w:r w:rsidRPr="00762190">
        <w:rPr>
          <w:rFonts w:ascii="Times New Roman" w:hAnsi="Times New Roman" w:cs="Times New Roman"/>
          <w:sz w:val="28"/>
          <w:szCs w:val="28"/>
        </w:rPr>
        <w:t xml:space="preserve"> в расходах на конечное потребление домашних хозяйств</w:t>
      </w:r>
    </w:p>
    <w:p w14:paraId="1F926812" w14:textId="77777777" w:rsidR="007C32A8" w:rsidRPr="00762190" w:rsidRDefault="007C32A8" w:rsidP="007C32A8">
      <w:pPr>
        <w:spacing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w:t>
      </w:r>
    </w:p>
    <w:p w14:paraId="4EAF2D1D"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Распределение детей среди </w:t>
      </w:r>
      <w:proofErr w:type="spellStart"/>
      <w:r w:rsidRPr="00762190">
        <w:rPr>
          <w:rFonts w:ascii="Times New Roman" w:hAnsi="Times New Roman" w:cs="Times New Roman"/>
          <w:sz w:val="28"/>
          <w:szCs w:val="28"/>
        </w:rPr>
        <w:t>децильных</w:t>
      </w:r>
      <w:proofErr w:type="spellEnd"/>
      <w:r w:rsidRPr="00762190">
        <w:rPr>
          <w:rFonts w:ascii="Times New Roman" w:hAnsi="Times New Roman" w:cs="Times New Roman"/>
          <w:sz w:val="28"/>
          <w:szCs w:val="28"/>
        </w:rPr>
        <w:t xml:space="preserve"> групп домашних хозяйств было получено в результате расчетов, сделанных на основании данных Выборочного наблюдения доходов населения и участия в социальных программах Росстата. Также, была использована предпосылка о том, что дети из каждой </w:t>
      </w:r>
      <w:proofErr w:type="spellStart"/>
      <w:r w:rsidRPr="00762190">
        <w:rPr>
          <w:rFonts w:ascii="Times New Roman" w:hAnsi="Times New Roman" w:cs="Times New Roman"/>
          <w:sz w:val="28"/>
          <w:szCs w:val="28"/>
        </w:rPr>
        <w:t>децильной</w:t>
      </w:r>
      <w:proofErr w:type="spellEnd"/>
      <w:r w:rsidRPr="00762190">
        <w:rPr>
          <w:rFonts w:ascii="Times New Roman" w:hAnsi="Times New Roman" w:cs="Times New Roman"/>
          <w:sz w:val="28"/>
          <w:szCs w:val="28"/>
        </w:rPr>
        <w:t xml:space="preserve"> группы одинаково распределены по всем регионам России. Это позволило распределить общий объем выплат на детей в соответствии с распределением детей по </w:t>
      </w:r>
      <w:proofErr w:type="spellStart"/>
      <w:r w:rsidRPr="00762190">
        <w:rPr>
          <w:rFonts w:ascii="Times New Roman" w:hAnsi="Times New Roman" w:cs="Times New Roman"/>
          <w:sz w:val="28"/>
          <w:szCs w:val="28"/>
        </w:rPr>
        <w:t>децильным</w:t>
      </w:r>
      <w:proofErr w:type="spellEnd"/>
      <w:r w:rsidRPr="00762190">
        <w:rPr>
          <w:rFonts w:ascii="Times New Roman" w:hAnsi="Times New Roman" w:cs="Times New Roman"/>
          <w:sz w:val="28"/>
          <w:szCs w:val="28"/>
        </w:rPr>
        <w:t xml:space="preserve"> группам.</w:t>
      </w:r>
    </w:p>
    <w:p w14:paraId="3162A2AE" w14:textId="77777777" w:rsidR="007C32A8" w:rsidRPr="00762190" w:rsidRDefault="007C32A8" w:rsidP="007C32A8">
      <w:pPr>
        <w:spacing w:line="360" w:lineRule="auto"/>
        <w:jc w:val="center"/>
        <w:rPr>
          <w:rFonts w:ascii="Times New Roman" w:hAnsi="Times New Roman" w:cs="Times New Roman"/>
          <w:sz w:val="28"/>
          <w:szCs w:val="28"/>
        </w:rPr>
      </w:pPr>
      <w:r w:rsidRPr="00762190">
        <w:rPr>
          <w:noProof/>
          <w:sz w:val="24"/>
          <w:szCs w:val="24"/>
          <w:lang w:eastAsia="ru-RU"/>
        </w:rPr>
        <w:drawing>
          <wp:inline distT="0" distB="0" distL="0" distR="0" wp14:anchorId="5019598B" wp14:editId="778D0368">
            <wp:extent cx="4572000" cy="2200275"/>
            <wp:effectExtent l="0" t="0" r="0" b="9525"/>
            <wp:docPr id="8" name="Диаграмма 8">
              <a:extLst xmlns:a="http://schemas.openxmlformats.org/drawingml/2006/main">
                <a:ext uri="{FF2B5EF4-FFF2-40B4-BE49-F238E27FC236}">
                  <a16:creationId xmlns:a16="http://schemas.microsoft.com/office/drawing/2014/main" id="{9B2F7370-4A10-4052-B37A-10C3F709F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07AB54" w14:textId="77777777" w:rsidR="007C32A8" w:rsidRPr="00297197"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6.4</w:t>
      </w:r>
      <w:r w:rsidRPr="00762190">
        <w:rPr>
          <w:rFonts w:ascii="Times New Roman" w:hAnsi="Times New Roman" w:cs="Times New Roman"/>
          <w:sz w:val="28"/>
          <w:szCs w:val="28"/>
        </w:rPr>
        <w:t xml:space="preserve">. Распределение детей по </w:t>
      </w:r>
      <w:proofErr w:type="spellStart"/>
      <w:r w:rsidRPr="00762190">
        <w:rPr>
          <w:rFonts w:ascii="Times New Roman" w:hAnsi="Times New Roman" w:cs="Times New Roman"/>
          <w:sz w:val="28"/>
          <w:szCs w:val="28"/>
        </w:rPr>
        <w:t>децильным</w:t>
      </w:r>
      <w:proofErr w:type="spellEnd"/>
      <w:r w:rsidRPr="00762190">
        <w:rPr>
          <w:rFonts w:ascii="Times New Roman" w:hAnsi="Times New Roman" w:cs="Times New Roman"/>
          <w:sz w:val="28"/>
          <w:szCs w:val="28"/>
        </w:rPr>
        <w:t xml:space="preserve"> группам</w:t>
      </w:r>
      <w:r>
        <w:rPr>
          <w:rFonts w:ascii="Times New Roman" w:hAnsi="Times New Roman" w:cs="Times New Roman"/>
          <w:sz w:val="28"/>
          <w:szCs w:val="28"/>
        </w:rPr>
        <w:t xml:space="preserve"> в 2016 г., </w:t>
      </w:r>
      <w:r w:rsidRPr="00297197">
        <w:rPr>
          <w:rFonts w:ascii="Times New Roman" w:hAnsi="Times New Roman" w:cs="Times New Roman"/>
          <w:sz w:val="28"/>
          <w:szCs w:val="28"/>
        </w:rPr>
        <w:t xml:space="preserve">% </w:t>
      </w:r>
      <w:r>
        <w:rPr>
          <w:rFonts w:ascii="Times New Roman" w:hAnsi="Times New Roman" w:cs="Times New Roman"/>
          <w:sz w:val="28"/>
          <w:szCs w:val="28"/>
        </w:rPr>
        <w:t>от численности всех детей в возрасте до 18 лет</w:t>
      </w:r>
    </w:p>
    <w:p w14:paraId="31447F3F" w14:textId="77777777" w:rsidR="007C32A8" w:rsidRPr="00762190" w:rsidRDefault="007C32A8" w:rsidP="007C32A8">
      <w:pPr>
        <w:spacing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 по данным Росстата</w:t>
      </w:r>
    </w:p>
    <w:p w14:paraId="2BD26389"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Распределение матерей и отцов по </w:t>
      </w:r>
      <w:proofErr w:type="spellStart"/>
      <w:r w:rsidRPr="00762190">
        <w:rPr>
          <w:rFonts w:ascii="Times New Roman" w:hAnsi="Times New Roman" w:cs="Times New Roman"/>
          <w:sz w:val="28"/>
          <w:szCs w:val="28"/>
        </w:rPr>
        <w:t>децильным</w:t>
      </w:r>
      <w:proofErr w:type="spellEnd"/>
      <w:r w:rsidRPr="00762190">
        <w:rPr>
          <w:rFonts w:ascii="Times New Roman" w:hAnsi="Times New Roman" w:cs="Times New Roman"/>
          <w:sz w:val="28"/>
          <w:szCs w:val="28"/>
        </w:rPr>
        <w:t xml:space="preserve"> группам было рассчитано, также, на основании данных Выборочного наблюдения доходов населения и участия в социальных программах Росстата. Предполагалось, что их общее число равно друг другу, а распределены между регионами они также, как и дети.</w:t>
      </w:r>
    </w:p>
    <w:p w14:paraId="41415BD5" w14:textId="77777777" w:rsidR="007C32A8" w:rsidRPr="00762190" w:rsidRDefault="007C32A8" w:rsidP="007C32A8">
      <w:pPr>
        <w:spacing w:line="360" w:lineRule="auto"/>
        <w:jc w:val="center"/>
        <w:rPr>
          <w:rFonts w:ascii="Times New Roman" w:hAnsi="Times New Roman" w:cs="Times New Roman"/>
          <w:sz w:val="28"/>
          <w:szCs w:val="28"/>
        </w:rPr>
      </w:pPr>
      <w:r w:rsidRPr="00762190">
        <w:rPr>
          <w:noProof/>
          <w:sz w:val="24"/>
          <w:szCs w:val="24"/>
          <w:lang w:eastAsia="ru-RU"/>
        </w:rPr>
        <w:drawing>
          <wp:inline distT="0" distB="0" distL="0" distR="0" wp14:anchorId="77C8ABC8" wp14:editId="6873135C">
            <wp:extent cx="4572000" cy="2133600"/>
            <wp:effectExtent l="0" t="0" r="0" b="0"/>
            <wp:docPr id="9" name="Диаграмма 9">
              <a:extLst xmlns:a="http://schemas.openxmlformats.org/drawingml/2006/main">
                <a:ext uri="{FF2B5EF4-FFF2-40B4-BE49-F238E27FC236}">
                  <a16:creationId xmlns:a16="http://schemas.microsoft.com/office/drawing/2014/main" id="{61734759-3DA7-47DF-99EE-C19B7CE1C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36CC4C9" w14:textId="77777777" w:rsidR="007C32A8" w:rsidRPr="003F1499"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Рисунок 6.</w:t>
      </w:r>
      <w:r>
        <w:rPr>
          <w:rFonts w:ascii="Times New Roman" w:hAnsi="Times New Roman" w:cs="Times New Roman"/>
          <w:sz w:val="28"/>
          <w:szCs w:val="28"/>
        </w:rPr>
        <w:t>5.</w:t>
      </w:r>
      <w:r w:rsidRPr="00762190">
        <w:rPr>
          <w:rFonts w:ascii="Times New Roman" w:hAnsi="Times New Roman" w:cs="Times New Roman"/>
          <w:sz w:val="28"/>
          <w:szCs w:val="28"/>
        </w:rPr>
        <w:t xml:space="preserve"> Распределение родителей по </w:t>
      </w:r>
      <w:proofErr w:type="spellStart"/>
      <w:r w:rsidRPr="00762190">
        <w:rPr>
          <w:rFonts w:ascii="Times New Roman" w:hAnsi="Times New Roman" w:cs="Times New Roman"/>
          <w:sz w:val="28"/>
          <w:szCs w:val="28"/>
        </w:rPr>
        <w:t>децильным</w:t>
      </w:r>
      <w:proofErr w:type="spellEnd"/>
      <w:r w:rsidRPr="00762190">
        <w:rPr>
          <w:rFonts w:ascii="Times New Roman" w:hAnsi="Times New Roman" w:cs="Times New Roman"/>
          <w:sz w:val="28"/>
          <w:szCs w:val="28"/>
        </w:rPr>
        <w:t xml:space="preserve"> группам</w:t>
      </w:r>
      <w:r>
        <w:rPr>
          <w:rFonts w:ascii="Times New Roman" w:hAnsi="Times New Roman" w:cs="Times New Roman"/>
          <w:sz w:val="28"/>
          <w:szCs w:val="28"/>
        </w:rPr>
        <w:t xml:space="preserve"> в 2016 г.</w:t>
      </w:r>
      <w:r w:rsidRPr="003F1499">
        <w:rPr>
          <w:rFonts w:ascii="Times New Roman" w:hAnsi="Times New Roman" w:cs="Times New Roman"/>
          <w:sz w:val="28"/>
          <w:szCs w:val="28"/>
        </w:rPr>
        <w:t>, %</w:t>
      </w:r>
      <w:r>
        <w:rPr>
          <w:rFonts w:ascii="Times New Roman" w:hAnsi="Times New Roman" w:cs="Times New Roman"/>
          <w:sz w:val="28"/>
          <w:szCs w:val="28"/>
        </w:rPr>
        <w:t xml:space="preserve"> от численности всех родителей</w:t>
      </w:r>
    </w:p>
    <w:p w14:paraId="7EC614A7" w14:textId="77777777" w:rsidR="007C32A8" w:rsidRPr="00762190" w:rsidRDefault="007C32A8" w:rsidP="007C32A8">
      <w:pPr>
        <w:spacing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 по данным Росстата</w:t>
      </w:r>
    </w:p>
    <w:p w14:paraId="10134F5F"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Установление связи между элементами добавленной стоимости и конечного спроса осуществлялось в соответствии с соотношением ключевых показателей институциональных счетов Системы национальных счетов за 2016 год.</w:t>
      </w:r>
    </w:p>
    <w:p w14:paraId="4FD89700"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На рис</w:t>
      </w:r>
      <w:r>
        <w:rPr>
          <w:rFonts w:ascii="Times New Roman" w:hAnsi="Times New Roman" w:cs="Times New Roman"/>
          <w:sz w:val="28"/>
          <w:szCs w:val="28"/>
        </w:rPr>
        <w:t>.</w:t>
      </w:r>
      <w:r w:rsidRPr="00762190">
        <w:rPr>
          <w:rFonts w:ascii="Times New Roman" w:hAnsi="Times New Roman" w:cs="Times New Roman"/>
          <w:sz w:val="28"/>
          <w:szCs w:val="28"/>
        </w:rPr>
        <w:t xml:space="preserve"> </w:t>
      </w:r>
      <w:r>
        <w:rPr>
          <w:rFonts w:ascii="Times New Roman" w:hAnsi="Times New Roman" w:cs="Times New Roman"/>
          <w:sz w:val="28"/>
          <w:szCs w:val="28"/>
        </w:rPr>
        <w:t>6.6</w:t>
      </w:r>
      <w:r w:rsidRPr="00762190">
        <w:rPr>
          <w:rFonts w:ascii="Times New Roman" w:hAnsi="Times New Roman" w:cs="Times New Roman"/>
          <w:sz w:val="28"/>
          <w:szCs w:val="28"/>
        </w:rPr>
        <w:t xml:space="preserve"> представлен</w:t>
      </w:r>
      <w:r>
        <w:rPr>
          <w:rFonts w:ascii="Times New Roman" w:hAnsi="Times New Roman" w:cs="Times New Roman"/>
          <w:sz w:val="28"/>
          <w:szCs w:val="28"/>
        </w:rPr>
        <w:t xml:space="preserve"> прогноз</w:t>
      </w:r>
      <w:r w:rsidRPr="00762190">
        <w:rPr>
          <w:rFonts w:ascii="Times New Roman" w:hAnsi="Times New Roman" w:cs="Times New Roman"/>
          <w:sz w:val="28"/>
          <w:szCs w:val="28"/>
        </w:rPr>
        <w:t xml:space="preserve"> дополнительны</w:t>
      </w:r>
      <w:r>
        <w:rPr>
          <w:rFonts w:ascii="Times New Roman" w:hAnsi="Times New Roman" w:cs="Times New Roman"/>
          <w:sz w:val="28"/>
          <w:szCs w:val="28"/>
        </w:rPr>
        <w:t>х</w:t>
      </w:r>
      <w:r w:rsidRPr="00762190">
        <w:rPr>
          <w:rFonts w:ascii="Times New Roman" w:hAnsi="Times New Roman" w:cs="Times New Roman"/>
          <w:sz w:val="28"/>
          <w:szCs w:val="28"/>
        </w:rPr>
        <w:t xml:space="preserve"> темп</w:t>
      </w:r>
      <w:r>
        <w:rPr>
          <w:rFonts w:ascii="Times New Roman" w:hAnsi="Times New Roman" w:cs="Times New Roman"/>
          <w:sz w:val="28"/>
          <w:szCs w:val="28"/>
        </w:rPr>
        <w:t>ов</w:t>
      </w:r>
      <w:r w:rsidRPr="00762190">
        <w:rPr>
          <w:rFonts w:ascii="Times New Roman" w:hAnsi="Times New Roman" w:cs="Times New Roman"/>
          <w:sz w:val="28"/>
          <w:szCs w:val="28"/>
        </w:rPr>
        <w:t xml:space="preserve"> прироста реального ВВП</w:t>
      </w:r>
      <w:r>
        <w:rPr>
          <w:rFonts w:ascii="Times New Roman" w:hAnsi="Times New Roman" w:cs="Times New Roman"/>
          <w:sz w:val="28"/>
          <w:szCs w:val="28"/>
        </w:rPr>
        <w:t xml:space="preserve"> в </w:t>
      </w:r>
      <w:proofErr w:type="gramStart"/>
      <w:r>
        <w:rPr>
          <w:rFonts w:ascii="Times New Roman" w:hAnsi="Times New Roman" w:cs="Times New Roman"/>
          <w:sz w:val="28"/>
          <w:szCs w:val="28"/>
        </w:rPr>
        <w:t>2024-2032</w:t>
      </w:r>
      <w:proofErr w:type="gramEnd"/>
      <w:r>
        <w:rPr>
          <w:rFonts w:ascii="Times New Roman" w:hAnsi="Times New Roman" w:cs="Times New Roman"/>
          <w:sz w:val="28"/>
          <w:szCs w:val="28"/>
        </w:rPr>
        <w:t xml:space="preserve"> гг.</w:t>
      </w:r>
      <w:r w:rsidRPr="00762190">
        <w:rPr>
          <w:rFonts w:ascii="Times New Roman" w:hAnsi="Times New Roman" w:cs="Times New Roman"/>
          <w:sz w:val="28"/>
          <w:szCs w:val="28"/>
        </w:rPr>
        <w:t>, полученны</w:t>
      </w:r>
      <w:r>
        <w:rPr>
          <w:rFonts w:ascii="Times New Roman" w:hAnsi="Times New Roman" w:cs="Times New Roman"/>
          <w:sz w:val="28"/>
          <w:szCs w:val="28"/>
        </w:rPr>
        <w:t>х</w:t>
      </w:r>
      <w:r w:rsidRPr="00762190">
        <w:rPr>
          <w:rFonts w:ascii="Times New Roman" w:hAnsi="Times New Roman" w:cs="Times New Roman"/>
          <w:sz w:val="28"/>
          <w:szCs w:val="28"/>
        </w:rPr>
        <w:t xml:space="preserve"> в результате моделирования. В начале реализации каждого </w:t>
      </w:r>
      <w:r>
        <w:rPr>
          <w:rFonts w:ascii="Times New Roman" w:hAnsi="Times New Roman" w:cs="Times New Roman"/>
          <w:sz w:val="28"/>
          <w:szCs w:val="28"/>
        </w:rPr>
        <w:t xml:space="preserve">трехлетнего </w:t>
      </w:r>
      <w:r w:rsidRPr="00762190">
        <w:rPr>
          <w:rFonts w:ascii="Times New Roman" w:hAnsi="Times New Roman" w:cs="Times New Roman"/>
          <w:sz w:val="28"/>
          <w:szCs w:val="28"/>
        </w:rPr>
        <w:t>этапа, основным драйвером роста выступает потребление домашних хозяйств. Затем, в результате увеличения налоговых поступлений и прибыли компаний, импульс распространяется через канал инвестиций и государственного потребления, увеличивая темпы роста экономики.</w:t>
      </w:r>
    </w:p>
    <w:p w14:paraId="4325AA46" w14:textId="77777777" w:rsidR="007C32A8" w:rsidRPr="00762190" w:rsidRDefault="007C32A8" w:rsidP="007C32A8">
      <w:pPr>
        <w:spacing w:line="360" w:lineRule="auto"/>
        <w:jc w:val="center"/>
        <w:rPr>
          <w:rFonts w:ascii="Times New Roman" w:hAnsi="Times New Roman" w:cs="Times New Roman"/>
          <w:sz w:val="28"/>
          <w:szCs w:val="28"/>
        </w:rPr>
      </w:pPr>
      <w:r w:rsidRPr="00762190">
        <w:rPr>
          <w:rFonts w:ascii="Times New Roman" w:hAnsi="Times New Roman" w:cs="Times New Roman"/>
          <w:noProof/>
          <w:sz w:val="28"/>
          <w:szCs w:val="28"/>
          <w:lang w:eastAsia="ru-RU"/>
        </w:rPr>
        <w:drawing>
          <wp:inline distT="0" distB="0" distL="0" distR="0" wp14:anchorId="21BAAC6E" wp14:editId="1175C30B">
            <wp:extent cx="5486400" cy="2819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022004" w14:textId="77777777" w:rsidR="007C32A8" w:rsidRPr="00762190"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6.6</w:t>
      </w:r>
      <w:r w:rsidRPr="00762190">
        <w:rPr>
          <w:rFonts w:ascii="Times New Roman" w:hAnsi="Times New Roman" w:cs="Times New Roman"/>
          <w:sz w:val="28"/>
          <w:szCs w:val="28"/>
        </w:rPr>
        <w:t xml:space="preserve">. </w:t>
      </w:r>
      <w:r>
        <w:rPr>
          <w:rFonts w:ascii="Times New Roman" w:hAnsi="Times New Roman" w:cs="Times New Roman"/>
          <w:sz w:val="28"/>
          <w:szCs w:val="28"/>
        </w:rPr>
        <w:t>Прогноз д</w:t>
      </w:r>
      <w:r w:rsidRPr="00762190">
        <w:rPr>
          <w:rFonts w:ascii="Times New Roman" w:hAnsi="Times New Roman" w:cs="Times New Roman"/>
          <w:sz w:val="28"/>
          <w:szCs w:val="28"/>
        </w:rPr>
        <w:t>ополнительны</w:t>
      </w:r>
      <w:r>
        <w:rPr>
          <w:rFonts w:ascii="Times New Roman" w:hAnsi="Times New Roman" w:cs="Times New Roman"/>
          <w:sz w:val="28"/>
          <w:szCs w:val="28"/>
        </w:rPr>
        <w:t>х</w:t>
      </w:r>
      <w:r w:rsidRPr="00762190">
        <w:rPr>
          <w:rFonts w:ascii="Times New Roman" w:hAnsi="Times New Roman" w:cs="Times New Roman"/>
          <w:sz w:val="28"/>
          <w:szCs w:val="28"/>
        </w:rPr>
        <w:t xml:space="preserve"> темп</w:t>
      </w:r>
      <w:r>
        <w:rPr>
          <w:rFonts w:ascii="Times New Roman" w:hAnsi="Times New Roman" w:cs="Times New Roman"/>
          <w:sz w:val="28"/>
          <w:szCs w:val="28"/>
        </w:rPr>
        <w:t>ов</w:t>
      </w:r>
      <w:r w:rsidRPr="00762190">
        <w:rPr>
          <w:rFonts w:ascii="Times New Roman" w:hAnsi="Times New Roman" w:cs="Times New Roman"/>
          <w:sz w:val="28"/>
          <w:szCs w:val="28"/>
        </w:rPr>
        <w:t xml:space="preserve"> прироста реального ВВП</w:t>
      </w:r>
      <w:r>
        <w:rPr>
          <w:rFonts w:ascii="Times New Roman" w:hAnsi="Times New Roman" w:cs="Times New Roman"/>
          <w:sz w:val="28"/>
          <w:szCs w:val="28"/>
        </w:rPr>
        <w:t xml:space="preserve"> в результате поэтапного введения ББД для семей с детьми</w:t>
      </w:r>
    </w:p>
    <w:p w14:paraId="4792F219" w14:textId="77777777" w:rsidR="007C32A8" w:rsidRPr="00762190" w:rsidRDefault="007C32A8" w:rsidP="007C32A8">
      <w:pPr>
        <w:spacing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w:t>
      </w:r>
    </w:p>
    <w:p w14:paraId="6B5E8F35"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Для определения динамики уровня бедности первые две </w:t>
      </w:r>
      <w:proofErr w:type="spellStart"/>
      <w:r w:rsidRPr="00762190">
        <w:rPr>
          <w:rFonts w:ascii="Times New Roman" w:hAnsi="Times New Roman" w:cs="Times New Roman"/>
          <w:sz w:val="28"/>
          <w:szCs w:val="28"/>
        </w:rPr>
        <w:t>децильные</w:t>
      </w:r>
      <w:proofErr w:type="spellEnd"/>
      <w:r w:rsidRPr="00762190">
        <w:rPr>
          <w:rFonts w:ascii="Times New Roman" w:hAnsi="Times New Roman" w:cs="Times New Roman"/>
          <w:sz w:val="28"/>
          <w:szCs w:val="28"/>
        </w:rPr>
        <w:t xml:space="preserve"> группы домохозяйств были дополнительно разбиты на однопроцентные группы. Далее, для каждой такой группы был определен дефицит денежного дохода и рассчитан вклад в общий уровень бедности, в соответствии с долей семей с детьми среди бедных. С начала реализации третьего этапа</w:t>
      </w:r>
      <w:r>
        <w:rPr>
          <w:rFonts w:ascii="Times New Roman" w:hAnsi="Times New Roman" w:cs="Times New Roman"/>
          <w:sz w:val="28"/>
          <w:szCs w:val="28"/>
        </w:rPr>
        <w:t xml:space="preserve"> введения ББД для семей с детьми</w:t>
      </w:r>
      <w:r w:rsidRPr="00762190">
        <w:rPr>
          <w:rFonts w:ascii="Times New Roman" w:hAnsi="Times New Roman" w:cs="Times New Roman"/>
          <w:sz w:val="28"/>
          <w:szCs w:val="28"/>
        </w:rPr>
        <w:t>, уровень бедности опускается ниже целевого показателя в 6,45%, фигурирующего в Указе Президента «О национальных целях развития Российской Федерации на период до 2030 года»</w:t>
      </w:r>
      <w:r w:rsidRPr="00762190">
        <w:rPr>
          <w:rStyle w:val="ad"/>
          <w:rFonts w:ascii="Times New Roman" w:hAnsi="Times New Roman" w:cs="Times New Roman"/>
          <w:sz w:val="28"/>
          <w:szCs w:val="28"/>
        </w:rPr>
        <w:footnoteReference w:id="41"/>
      </w:r>
      <w:r>
        <w:rPr>
          <w:rFonts w:ascii="Times New Roman" w:hAnsi="Times New Roman" w:cs="Times New Roman"/>
          <w:sz w:val="28"/>
          <w:szCs w:val="28"/>
        </w:rPr>
        <w:t xml:space="preserve"> (рис. 6.7)</w:t>
      </w:r>
      <w:r w:rsidRPr="00762190">
        <w:rPr>
          <w:rFonts w:ascii="Times New Roman" w:hAnsi="Times New Roman" w:cs="Times New Roman"/>
          <w:sz w:val="28"/>
          <w:szCs w:val="28"/>
        </w:rPr>
        <w:t>.</w:t>
      </w:r>
    </w:p>
    <w:p w14:paraId="25A8D433" w14:textId="77777777" w:rsidR="007C32A8" w:rsidRPr="00762190" w:rsidRDefault="007C32A8" w:rsidP="007C32A8">
      <w:pPr>
        <w:spacing w:line="360" w:lineRule="auto"/>
        <w:jc w:val="center"/>
        <w:rPr>
          <w:rFonts w:ascii="Times New Roman" w:hAnsi="Times New Roman" w:cs="Times New Roman"/>
          <w:sz w:val="28"/>
          <w:szCs w:val="28"/>
        </w:rPr>
      </w:pPr>
      <w:r w:rsidRPr="00762190">
        <w:rPr>
          <w:noProof/>
          <w:sz w:val="24"/>
          <w:szCs w:val="24"/>
          <w:lang w:eastAsia="ru-RU"/>
        </w:rPr>
        <w:drawing>
          <wp:inline distT="0" distB="0" distL="0" distR="0" wp14:anchorId="6DC8309F" wp14:editId="33FE235F">
            <wp:extent cx="4572000" cy="2247900"/>
            <wp:effectExtent l="0" t="0" r="0" b="0"/>
            <wp:docPr id="13" name="Диаграмма 13">
              <a:extLst xmlns:a="http://schemas.openxmlformats.org/drawingml/2006/main">
                <a:ext uri="{FF2B5EF4-FFF2-40B4-BE49-F238E27FC236}">
                  <a16:creationId xmlns:a16="http://schemas.microsoft.com/office/drawing/2014/main" id="{94ED8F35-1165-4A35-BCC6-FED8DC490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E16A63" w14:textId="77777777" w:rsidR="007C32A8" w:rsidRPr="00295AB2" w:rsidRDefault="007C32A8" w:rsidP="007C32A8">
      <w:pPr>
        <w:spacing w:line="360" w:lineRule="auto"/>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6.7</w:t>
      </w:r>
      <w:r w:rsidRPr="00762190">
        <w:rPr>
          <w:rFonts w:ascii="Times New Roman" w:hAnsi="Times New Roman" w:cs="Times New Roman"/>
          <w:sz w:val="28"/>
          <w:szCs w:val="28"/>
        </w:rPr>
        <w:t>. Динамика уровня бедности</w:t>
      </w:r>
      <w:r>
        <w:rPr>
          <w:rFonts w:ascii="Times New Roman" w:hAnsi="Times New Roman" w:cs="Times New Roman"/>
          <w:sz w:val="28"/>
          <w:szCs w:val="28"/>
        </w:rPr>
        <w:t xml:space="preserve">, </w:t>
      </w:r>
      <w:r w:rsidRPr="00295AB2">
        <w:rPr>
          <w:rFonts w:ascii="Times New Roman" w:hAnsi="Times New Roman" w:cs="Times New Roman"/>
          <w:sz w:val="28"/>
          <w:szCs w:val="28"/>
        </w:rPr>
        <w:t xml:space="preserve">% </w:t>
      </w:r>
      <w:r>
        <w:rPr>
          <w:rFonts w:ascii="Times New Roman" w:hAnsi="Times New Roman" w:cs="Times New Roman"/>
          <w:sz w:val="28"/>
          <w:szCs w:val="28"/>
        </w:rPr>
        <w:t>от численности населения</w:t>
      </w:r>
    </w:p>
    <w:p w14:paraId="5ABB4B34" w14:textId="77777777" w:rsidR="007C32A8" w:rsidRPr="00762190" w:rsidRDefault="007C32A8" w:rsidP="007C32A8">
      <w:pPr>
        <w:spacing w:line="360" w:lineRule="auto"/>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w:t>
      </w:r>
    </w:p>
    <w:p w14:paraId="5E40F1AA" w14:textId="77777777" w:rsidR="007C32A8" w:rsidRPr="00762190" w:rsidRDefault="007C32A8"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расчетах в</w:t>
      </w:r>
      <w:r w:rsidRPr="00762190">
        <w:rPr>
          <w:rFonts w:ascii="Times New Roman" w:hAnsi="Times New Roman" w:cs="Times New Roman"/>
          <w:sz w:val="28"/>
          <w:szCs w:val="28"/>
        </w:rPr>
        <w:t xml:space="preserve"> качестве источника финансирования рассматривался налог на богатство, а также сокращение расходов на другие социальные программы. Первый этап</w:t>
      </w:r>
      <w:r>
        <w:rPr>
          <w:rFonts w:ascii="Times New Roman" w:hAnsi="Times New Roman" w:cs="Times New Roman"/>
          <w:sz w:val="28"/>
          <w:szCs w:val="28"/>
        </w:rPr>
        <w:t xml:space="preserve"> введения семейного ББД</w:t>
      </w:r>
      <w:r w:rsidRPr="00762190">
        <w:rPr>
          <w:rFonts w:ascii="Times New Roman" w:hAnsi="Times New Roman" w:cs="Times New Roman"/>
          <w:sz w:val="28"/>
          <w:szCs w:val="28"/>
        </w:rPr>
        <w:t xml:space="preserve">, предполагающий выплаты на детей, финансировался только за счет налога на богатство. </w:t>
      </w:r>
      <w:proofErr w:type="gramStart"/>
      <w:r w:rsidRPr="00762190">
        <w:rPr>
          <w:rFonts w:ascii="Times New Roman" w:hAnsi="Times New Roman" w:cs="Times New Roman"/>
          <w:sz w:val="28"/>
          <w:szCs w:val="28"/>
        </w:rPr>
        <w:t>В рамках последующих этапов,</w:t>
      </w:r>
      <w:proofErr w:type="gramEnd"/>
      <w:r w:rsidRPr="00762190">
        <w:rPr>
          <w:rFonts w:ascii="Times New Roman" w:hAnsi="Times New Roman" w:cs="Times New Roman"/>
          <w:sz w:val="28"/>
          <w:szCs w:val="28"/>
        </w:rPr>
        <w:t xml:space="preserve"> треть расходов финансировалась за счет сокращения расходов на другие социальные программы, а оставшиеся 2/3 – за счет налога на богатство.</w:t>
      </w:r>
    </w:p>
    <w:p w14:paraId="7C83F68C" w14:textId="77777777" w:rsidR="007C32A8" w:rsidRPr="00762190" w:rsidRDefault="007C32A8" w:rsidP="007C32A8">
      <w:pPr>
        <w:spacing w:line="360" w:lineRule="auto"/>
        <w:ind w:firstLine="709"/>
        <w:jc w:val="both"/>
        <w:rPr>
          <w:rFonts w:ascii="Times New Roman" w:hAnsi="Times New Roman"/>
          <w:sz w:val="28"/>
          <w:szCs w:val="24"/>
        </w:rPr>
      </w:pPr>
      <w:r w:rsidRPr="00762190">
        <w:rPr>
          <w:rFonts w:ascii="Times New Roman" w:hAnsi="Times New Roman" w:cs="Times New Roman"/>
          <w:sz w:val="28"/>
          <w:szCs w:val="28"/>
        </w:rPr>
        <w:t>Под налогом на богатство подразумевается налог, который уплачивается домохозяйствами, обладающими совокупными активами более 1 млрд</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w:t>
      </w:r>
      <w:r>
        <w:rPr>
          <w:rFonts w:ascii="Times New Roman" w:hAnsi="Times New Roman" w:cs="Times New Roman"/>
          <w:sz w:val="28"/>
          <w:szCs w:val="28"/>
        </w:rPr>
        <w:t xml:space="preserve">Объектом налогообложения выступают совокупные финансовые активы таких домохозяйств, относительно которых взымается налог по указанным в табл. 6.1 ставкам. </w:t>
      </w:r>
      <w:r w:rsidRPr="00762190">
        <w:rPr>
          <w:rFonts w:ascii="Times New Roman" w:hAnsi="Times New Roman" w:cs="Times New Roman"/>
          <w:sz w:val="28"/>
          <w:szCs w:val="28"/>
        </w:rPr>
        <w:t>Также, предусматривается дифференцированная ставка для тех, кто обладает совокупными активами от 1 млрд</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до 5 млрд</w:t>
      </w:r>
      <w:r>
        <w:rPr>
          <w:rFonts w:ascii="Times New Roman" w:hAnsi="Times New Roman" w:cs="Times New Roman"/>
          <w:sz w:val="28"/>
          <w:szCs w:val="28"/>
        </w:rPr>
        <w:t xml:space="preserve"> руб.</w:t>
      </w:r>
      <w:r w:rsidRPr="00762190">
        <w:rPr>
          <w:rFonts w:ascii="Times New Roman" w:hAnsi="Times New Roman" w:cs="Times New Roman"/>
          <w:sz w:val="28"/>
          <w:szCs w:val="28"/>
        </w:rPr>
        <w:t>, и для тех, кто владеет активами, совокупной стоимостью более 5 млрд</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w:t>
      </w:r>
      <w:r>
        <w:rPr>
          <w:rFonts w:ascii="Times New Roman" w:hAnsi="Times New Roman"/>
          <w:sz w:val="28"/>
          <w:szCs w:val="24"/>
        </w:rPr>
        <w:t>Подобные</w:t>
      </w:r>
      <w:r w:rsidRPr="00762190">
        <w:rPr>
          <w:rFonts w:ascii="Times New Roman" w:hAnsi="Times New Roman"/>
          <w:sz w:val="28"/>
          <w:szCs w:val="24"/>
        </w:rPr>
        <w:t xml:space="preserve"> диапазоны позволят взимать налог на богатство только с верхн</w:t>
      </w:r>
      <w:r>
        <w:rPr>
          <w:rFonts w:ascii="Times New Roman" w:hAnsi="Times New Roman"/>
          <w:sz w:val="28"/>
          <w:szCs w:val="24"/>
        </w:rPr>
        <w:t xml:space="preserve">ей </w:t>
      </w:r>
      <w:proofErr w:type="spellStart"/>
      <w:r>
        <w:rPr>
          <w:rFonts w:ascii="Times New Roman" w:hAnsi="Times New Roman"/>
          <w:sz w:val="28"/>
          <w:szCs w:val="24"/>
        </w:rPr>
        <w:t>децильной</w:t>
      </w:r>
      <w:proofErr w:type="spellEnd"/>
      <w:r>
        <w:rPr>
          <w:rFonts w:ascii="Times New Roman" w:hAnsi="Times New Roman"/>
          <w:sz w:val="28"/>
          <w:szCs w:val="24"/>
        </w:rPr>
        <w:t xml:space="preserve"> группы</w:t>
      </w:r>
      <w:r w:rsidRPr="00762190">
        <w:rPr>
          <w:rFonts w:ascii="Times New Roman" w:hAnsi="Times New Roman"/>
          <w:sz w:val="28"/>
          <w:szCs w:val="24"/>
        </w:rPr>
        <w:t xml:space="preserve">, а максимальная ставка применяется только к верхним </w:t>
      </w:r>
      <w:proofErr w:type="gramStart"/>
      <w:r w:rsidRPr="00762190">
        <w:rPr>
          <w:rFonts w:ascii="Times New Roman" w:hAnsi="Times New Roman"/>
          <w:sz w:val="28"/>
          <w:szCs w:val="24"/>
        </w:rPr>
        <w:t>1-2</w:t>
      </w:r>
      <w:proofErr w:type="gramEnd"/>
      <w:r w:rsidRPr="00762190">
        <w:rPr>
          <w:rFonts w:ascii="Times New Roman" w:hAnsi="Times New Roman"/>
          <w:sz w:val="28"/>
          <w:szCs w:val="24"/>
        </w:rPr>
        <w:t>% населения.</w:t>
      </w:r>
    </w:p>
    <w:p w14:paraId="6D96595C" w14:textId="77777777" w:rsidR="007C32A8" w:rsidRPr="00762190" w:rsidRDefault="007C32A8" w:rsidP="007C32A8">
      <w:pPr>
        <w:spacing w:line="360" w:lineRule="auto"/>
        <w:ind w:firstLine="709"/>
        <w:jc w:val="both"/>
        <w:rPr>
          <w:rFonts w:ascii="Times New Roman" w:hAnsi="Times New Roman"/>
          <w:sz w:val="28"/>
          <w:szCs w:val="24"/>
        </w:rPr>
      </w:pPr>
      <w:r w:rsidRPr="00762190">
        <w:rPr>
          <w:rFonts w:ascii="Times New Roman" w:hAnsi="Times New Roman"/>
          <w:sz w:val="28"/>
          <w:szCs w:val="24"/>
        </w:rPr>
        <w:t>Расходы на реализацию каждого этапа, а также соответствующие им ставки налога, представлены в табл</w:t>
      </w:r>
      <w:r>
        <w:rPr>
          <w:rFonts w:ascii="Times New Roman" w:hAnsi="Times New Roman"/>
          <w:sz w:val="28"/>
          <w:szCs w:val="24"/>
        </w:rPr>
        <w:t>.</w:t>
      </w:r>
      <w:r w:rsidRPr="00762190">
        <w:rPr>
          <w:rFonts w:ascii="Times New Roman" w:hAnsi="Times New Roman"/>
          <w:sz w:val="28"/>
          <w:szCs w:val="24"/>
        </w:rPr>
        <w:t xml:space="preserve"> </w:t>
      </w:r>
      <w:r>
        <w:rPr>
          <w:rFonts w:ascii="Times New Roman" w:hAnsi="Times New Roman"/>
          <w:sz w:val="28"/>
          <w:szCs w:val="24"/>
        </w:rPr>
        <w:t>6.</w:t>
      </w:r>
      <w:r w:rsidRPr="00762190">
        <w:rPr>
          <w:rFonts w:ascii="Times New Roman" w:hAnsi="Times New Roman"/>
          <w:sz w:val="28"/>
          <w:szCs w:val="24"/>
        </w:rPr>
        <w:t>1.</w:t>
      </w:r>
    </w:p>
    <w:p w14:paraId="3BEF0C0B" w14:textId="77777777" w:rsidR="007C32A8" w:rsidRPr="00762190" w:rsidRDefault="007C32A8" w:rsidP="007C32A8">
      <w:pPr>
        <w:spacing w:line="360" w:lineRule="auto"/>
        <w:jc w:val="right"/>
        <w:rPr>
          <w:rFonts w:ascii="Times New Roman" w:hAnsi="Times New Roman"/>
          <w:sz w:val="28"/>
          <w:szCs w:val="24"/>
        </w:rPr>
      </w:pPr>
      <w:r w:rsidRPr="00762190">
        <w:rPr>
          <w:rFonts w:ascii="Times New Roman" w:hAnsi="Times New Roman"/>
          <w:sz w:val="28"/>
          <w:szCs w:val="24"/>
        </w:rPr>
        <w:t xml:space="preserve">Таблица </w:t>
      </w:r>
      <w:r>
        <w:rPr>
          <w:rFonts w:ascii="Times New Roman" w:hAnsi="Times New Roman"/>
          <w:sz w:val="28"/>
          <w:szCs w:val="24"/>
        </w:rPr>
        <w:t>6.</w:t>
      </w:r>
      <w:r w:rsidRPr="00762190">
        <w:rPr>
          <w:rFonts w:ascii="Times New Roman" w:hAnsi="Times New Roman"/>
          <w:sz w:val="28"/>
          <w:szCs w:val="24"/>
        </w:rPr>
        <w:t>1</w:t>
      </w:r>
    </w:p>
    <w:p w14:paraId="5CADD1F1" w14:textId="77777777" w:rsidR="007C32A8" w:rsidRPr="00762190" w:rsidRDefault="007C32A8" w:rsidP="007C32A8">
      <w:pPr>
        <w:spacing w:line="360" w:lineRule="auto"/>
        <w:jc w:val="center"/>
        <w:rPr>
          <w:rFonts w:ascii="Times New Roman" w:hAnsi="Times New Roman"/>
          <w:sz w:val="28"/>
          <w:szCs w:val="24"/>
        </w:rPr>
      </w:pPr>
      <w:r w:rsidRPr="00762190">
        <w:rPr>
          <w:rFonts w:ascii="Times New Roman" w:hAnsi="Times New Roman"/>
          <w:sz w:val="28"/>
          <w:szCs w:val="24"/>
        </w:rPr>
        <w:t>Объем расходов на реализацию этапов введения базового дохода и соответствующие ставки налога на богатство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2479"/>
        <w:gridCol w:w="1632"/>
        <w:gridCol w:w="1553"/>
      </w:tblGrid>
      <w:tr w:rsidR="007C32A8" w:rsidRPr="00762190" w14:paraId="33AA68E7" w14:textId="77777777" w:rsidTr="00FC0A22">
        <w:trPr>
          <w:trHeight w:val="1899"/>
        </w:trPr>
        <w:tc>
          <w:tcPr>
            <w:tcW w:w="1696" w:type="dxa"/>
            <w:vAlign w:val="center"/>
          </w:tcPr>
          <w:p w14:paraId="135C037D"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Этапы введения ББД</w:t>
            </w:r>
          </w:p>
        </w:tc>
        <w:tc>
          <w:tcPr>
            <w:tcW w:w="1985" w:type="dxa"/>
            <w:vAlign w:val="center"/>
          </w:tcPr>
          <w:p w14:paraId="4BFE8C54"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Содержание этапа</w:t>
            </w:r>
          </w:p>
        </w:tc>
        <w:tc>
          <w:tcPr>
            <w:tcW w:w="2479" w:type="dxa"/>
            <w:vAlign w:val="center"/>
          </w:tcPr>
          <w:p w14:paraId="7F5A5C03" w14:textId="77777777" w:rsidR="007C32A8"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 Расходов</w:t>
            </w:r>
            <w:r>
              <w:rPr>
                <w:rFonts w:ascii="Times New Roman" w:hAnsi="Times New Roman" w:cs="Times New Roman"/>
                <w:sz w:val="28"/>
                <w:szCs w:val="28"/>
              </w:rPr>
              <w:t xml:space="preserve"> </w:t>
            </w:r>
          </w:p>
          <w:p w14:paraId="4888D5B3"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(млрд руб.)</w:t>
            </w:r>
          </w:p>
        </w:tc>
        <w:tc>
          <w:tcPr>
            <w:tcW w:w="1632" w:type="dxa"/>
            <w:vAlign w:val="center"/>
          </w:tcPr>
          <w:p w14:paraId="447B228C" w14:textId="77777777" w:rsidR="007C32A8"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 Расходов</w:t>
            </w:r>
          </w:p>
          <w:p w14:paraId="42E92BA0"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(млрд руб.)</w:t>
            </w:r>
          </w:p>
        </w:tc>
        <w:tc>
          <w:tcPr>
            <w:tcW w:w="1553" w:type="dxa"/>
            <w:vAlign w:val="center"/>
          </w:tcPr>
          <w:p w14:paraId="063B8001"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Ставки налога на богатство</w:t>
            </w:r>
            <w:r>
              <w:rPr>
                <w:rFonts w:ascii="Times New Roman" w:hAnsi="Times New Roman" w:cs="Times New Roman"/>
                <w:sz w:val="28"/>
                <w:szCs w:val="28"/>
              </w:rPr>
              <w:t xml:space="preserve"> (%)</w:t>
            </w:r>
          </w:p>
        </w:tc>
      </w:tr>
      <w:tr w:rsidR="007C32A8" w:rsidRPr="00762190" w14:paraId="75BDFAC9" w14:textId="77777777" w:rsidTr="00FC0A22">
        <w:trPr>
          <w:trHeight w:val="1503"/>
        </w:trPr>
        <w:tc>
          <w:tcPr>
            <w:tcW w:w="1696" w:type="dxa"/>
            <w:vAlign w:val="center"/>
          </w:tcPr>
          <w:p w14:paraId="2B8724C9" w14:textId="77777777" w:rsidR="007C32A8"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lang w:val="en-US"/>
              </w:rPr>
              <w:t xml:space="preserve">I </w:t>
            </w:r>
          </w:p>
          <w:p w14:paraId="7A9AF5B4"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2024-2026</w:t>
            </w:r>
            <w:proofErr w:type="gramEnd"/>
            <w:r>
              <w:rPr>
                <w:rFonts w:ascii="Times New Roman" w:hAnsi="Times New Roman" w:cs="Times New Roman"/>
                <w:sz w:val="28"/>
                <w:szCs w:val="28"/>
              </w:rPr>
              <w:t xml:space="preserve"> гг.)</w:t>
            </w:r>
          </w:p>
        </w:tc>
        <w:tc>
          <w:tcPr>
            <w:tcW w:w="1985" w:type="dxa"/>
            <w:vAlign w:val="center"/>
          </w:tcPr>
          <w:p w14:paraId="25D0ED8F"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½ ПМ на каждого ребенка</w:t>
            </w:r>
          </w:p>
        </w:tc>
        <w:tc>
          <w:tcPr>
            <w:tcW w:w="2479" w:type="dxa"/>
            <w:vAlign w:val="center"/>
          </w:tcPr>
          <w:p w14:paraId="5B364178"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 xml:space="preserve">2 040 </w:t>
            </w:r>
          </w:p>
        </w:tc>
        <w:tc>
          <w:tcPr>
            <w:tcW w:w="1632" w:type="dxa"/>
            <w:vAlign w:val="center"/>
          </w:tcPr>
          <w:p w14:paraId="4B7A6D1D"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2 040</w:t>
            </w:r>
          </w:p>
        </w:tc>
        <w:tc>
          <w:tcPr>
            <w:tcW w:w="1553" w:type="dxa"/>
            <w:vAlign w:val="center"/>
          </w:tcPr>
          <w:p w14:paraId="32B8C72E"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1 и 2</w:t>
            </w:r>
          </w:p>
        </w:tc>
      </w:tr>
      <w:tr w:rsidR="007C32A8" w:rsidRPr="00762190" w14:paraId="733AA814" w14:textId="77777777" w:rsidTr="00FC0A22">
        <w:tc>
          <w:tcPr>
            <w:tcW w:w="1696" w:type="dxa"/>
            <w:vAlign w:val="center"/>
          </w:tcPr>
          <w:p w14:paraId="144AF160" w14:textId="77777777" w:rsidR="007C32A8" w:rsidRDefault="007C32A8" w:rsidP="00FC0A22">
            <w:pPr>
              <w:spacing w:line="360" w:lineRule="auto"/>
              <w:jc w:val="center"/>
              <w:rPr>
                <w:rFonts w:ascii="Times New Roman" w:hAnsi="Times New Roman" w:cs="Times New Roman"/>
                <w:sz w:val="28"/>
                <w:szCs w:val="28"/>
                <w:lang w:val="en-US"/>
              </w:rPr>
            </w:pPr>
            <w:r w:rsidRPr="00762190">
              <w:rPr>
                <w:rFonts w:ascii="Times New Roman" w:hAnsi="Times New Roman" w:cs="Times New Roman"/>
                <w:sz w:val="28"/>
                <w:szCs w:val="28"/>
                <w:lang w:val="en-US"/>
              </w:rPr>
              <w:t>II</w:t>
            </w:r>
          </w:p>
          <w:p w14:paraId="1A1AA933"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2027-2029</w:t>
            </w:r>
            <w:proofErr w:type="gramEnd"/>
            <w:r>
              <w:rPr>
                <w:rFonts w:ascii="Times New Roman" w:hAnsi="Times New Roman" w:cs="Times New Roman"/>
                <w:sz w:val="28"/>
                <w:szCs w:val="28"/>
              </w:rPr>
              <w:t xml:space="preserve"> гг.)</w:t>
            </w:r>
          </w:p>
        </w:tc>
        <w:tc>
          <w:tcPr>
            <w:tcW w:w="1985" w:type="dxa"/>
            <w:vAlign w:val="center"/>
          </w:tcPr>
          <w:p w14:paraId="0BD9BB49"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lang w:val="en-US"/>
              </w:rPr>
              <w:t>I</w:t>
            </w:r>
            <w:r w:rsidRPr="00762190">
              <w:rPr>
                <w:rFonts w:ascii="Times New Roman" w:hAnsi="Times New Roman" w:cs="Times New Roman"/>
                <w:sz w:val="28"/>
                <w:szCs w:val="28"/>
              </w:rPr>
              <w:t xml:space="preserve"> этап + ½ ПМ на каждую мать</w:t>
            </w:r>
          </w:p>
        </w:tc>
        <w:tc>
          <w:tcPr>
            <w:tcW w:w="2479" w:type="dxa"/>
            <w:vAlign w:val="center"/>
          </w:tcPr>
          <w:p w14:paraId="3AF28403"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814,5</w:t>
            </w:r>
          </w:p>
          <w:p w14:paraId="04BF2C2D"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 xml:space="preserve">(+ 407 </w:t>
            </w:r>
            <w:r>
              <w:rPr>
                <w:rFonts w:ascii="Times New Roman" w:hAnsi="Times New Roman" w:cs="Times New Roman"/>
                <w:sz w:val="28"/>
                <w:szCs w:val="28"/>
              </w:rPr>
              <w:t>–</w:t>
            </w:r>
            <w:r w:rsidRPr="00762190">
              <w:rPr>
                <w:rFonts w:ascii="Times New Roman" w:hAnsi="Times New Roman" w:cs="Times New Roman"/>
                <w:sz w:val="28"/>
                <w:szCs w:val="28"/>
              </w:rPr>
              <w:t xml:space="preserve"> от отмены программ)</w:t>
            </w:r>
          </w:p>
        </w:tc>
        <w:tc>
          <w:tcPr>
            <w:tcW w:w="1632" w:type="dxa"/>
            <w:vAlign w:val="center"/>
          </w:tcPr>
          <w:p w14:paraId="350E7FF5"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3 262</w:t>
            </w:r>
          </w:p>
        </w:tc>
        <w:tc>
          <w:tcPr>
            <w:tcW w:w="1553" w:type="dxa"/>
            <w:vAlign w:val="center"/>
          </w:tcPr>
          <w:p w14:paraId="084FAA08"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1,5 и 2,5</w:t>
            </w:r>
          </w:p>
        </w:tc>
      </w:tr>
      <w:tr w:rsidR="007C32A8" w:rsidRPr="00762190" w14:paraId="4A97C5B2" w14:textId="77777777" w:rsidTr="00FC0A22">
        <w:tc>
          <w:tcPr>
            <w:tcW w:w="1696" w:type="dxa"/>
            <w:vAlign w:val="center"/>
          </w:tcPr>
          <w:p w14:paraId="2C4F09CB" w14:textId="77777777" w:rsidR="007C32A8"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lang w:val="en-US"/>
              </w:rPr>
              <w:t xml:space="preserve">III </w:t>
            </w:r>
          </w:p>
          <w:p w14:paraId="6F377467" w14:textId="77777777" w:rsidR="007C32A8" w:rsidRPr="00762190" w:rsidRDefault="007C32A8" w:rsidP="00FC0A22">
            <w:pPr>
              <w:spacing w:line="360" w:lineRule="auto"/>
              <w:jc w:val="center"/>
              <w:rPr>
                <w:rFonts w:ascii="Times New Roman" w:hAnsi="Times New Roman" w:cs="Times New Roman"/>
                <w:sz w:val="28"/>
                <w:szCs w:val="28"/>
              </w:rPr>
            </w:pPr>
            <w:r>
              <w:rPr>
                <w:rFonts w:ascii="Times New Roman" w:hAnsi="Times New Roman" w:cs="Times New Roman"/>
                <w:sz w:val="28"/>
                <w:szCs w:val="28"/>
              </w:rPr>
              <w:t>(2030 г. и далее)</w:t>
            </w:r>
          </w:p>
        </w:tc>
        <w:tc>
          <w:tcPr>
            <w:tcW w:w="1985" w:type="dxa"/>
            <w:vAlign w:val="center"/>
          </w:tcPr>
          <w:p w14:paraId="3D799472"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lang w:val="en-US"/>
              </w:rPr>
              <w:t>II</w:t>
            </w:r>
            <w:r w:rsidRPr="00762190">
              <w:rPr>
                <w:rFonts w:ascii="Times New Roman" w:hAnsi="Times New Roman" w:cs="Times New Roman"/>
                <w:sz w:val="28"/>
                <w:szCs w:val="28"/>
              </w:rPr>
              <w:t xml:space="preserve"> этап + ½ ПМ на каждого отца</w:t>
            </w:r>
          </w:p>
        </w:tc>
        <w:tc>
          <w:tcPr>
            <w:tcW w:w="2479" w:type="dxa"/>
            <w:vAlign w:val="center"/>
          </w:tcPr>
          <w:p w14:paraId="7C40AB28"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814,5</w:t>
            </w:r>
          </w:p>
          <w:p w14:paraId="57F32440"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 xml:space="preserve">(+ 407 </w:t>
            </w:r>
            <w:r>
              <w:rPr>
                <w:rFonts w:ascii="Times New Roman" w:hAnsi="Times New Roman" w:cs="Times New Roman"/>
                <w:sz w:val="28"/>
                <w:szCs w:val="28"/>
              </w:rPr>
              <w:t>–</w:t>
            </w:r>
            <w:r w:rsidRPr="00762190">
              <w:rPr>
                <w:rFonts w:ascii="Times New Roman" w:hAnsi="Times New Roman" w:cs="Times New Roman"/>
                <w:sz w:val="28"/>
                <w:szCs w:val="28"/>
              </w:rPr>
              <w:t xml:space="preserve"> от отмены программ)</w:t>
            </w:r>
          </w:p>
        </w:tc>
        <w:tc>
          <w:tcPr>
            <w:tcW w:w="1632" w:type="dxa"/>
            <w:vAlign w:val="center"/>
          </w:tcPr>
          <w:p w14:paraId="25C29BDF"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4 483</w:t>
            </w:r>
          </w:p>
        </w:tc>
        <w:tc>
          <w:tcPr>
            <w:tcW w:w="1553" w:type="dxa"/>
            <w:vAlign w:val="center"/>
          </w:tcPr>
          <w:p w14:paraId="35E26DB7" w14:textId="77777777" w:rsidR="007C32A8" w:rsidRPr="00762190" w:rsidRDefault="007C32A8" w:rsidP="00FC0A22">
            <w:pPr>
              <w:spacing w:line="360" w:lineRule="auto"/>
              <w:jc w:val="center"/>
              <w:rPr>
                <w:rFonts w:ascii="Times New Roman" w:hAnsi="Times New Roman" w:cs="Times New Roman"/>
                <w:sz w:val="28"/>
                <w:szCs w:val="28"/>
              </w:rPr>
            </w:pPr>
            <w:r w:rsidRPr="00762190">
              <w:rPr>
                <w:rFonts w:ascii="Times New Roman" w:hAnsi="Times New Roman" w:cs="Times New Roman"/>
                <w:sz w:val="28"/>
                <w:szCs w:val="28"/>
              </w:rPr>
              <w:t>2 и 3</w:t>
            </w:r>
          </w:p>
        </w:tc>
      </w:tr>
    </w:tbl>
    <w:p w14:paraId="3B880AB1" w14:textId="77777777" w:rsidR="007C32A8" w:rsidRPr="00762190" w:rsidRDefault="007C32A8" w:rsidP="007C32A8">
      <w:pPr>
        <w:spacing w:before="240" w:line="360" w:lineRule="auto"/>
        <w:jc w:val="both"/>
        <w:rPr>
          <w:rFonts w:ascii="Times New Roman" w:hAnsi="Times New Roman" w:cs="Times New Roman"/>
          <w:i/>
          <w:iCs/>
          <w:sz w:val="28"/>
          <w:szCs w:val="28"/>
        </w:rPr>
      </w:pPr>
      <w:r w:rsidRPr="00762190">
        <w:rPr>
          <w:rFonts w:ascii="Times New Roman" w:hAnsi="Times New Roman" w:cs="Times New Roman"/>
          <w:i/>
          <w:iCs/>
          <w:sz w:val="28"/>
          <w:szCs w:val="28"/>
        </w:rPr>
        <w:t>Источник: расчеты ИНП РАН по данным Росстата, ЦБ РФ</w:t>
      </w:r>
      <w:r>
        <w:rPr>
          <w:rFonts w:ascii="Times New Roman" w:hAnsi="Times New Roman" w:cs="Times New Roman"/>
          <w:i/>
          <w:iCs/>
          <w:sz w:val="28"/>
          <w:szCs w:val="28"/>
        </w:rPr>
        <w:t xml:space="preserve"> и</w:t>
      </w:r>
      <w:r w:rsidRPr="00762190">
        <w:rPr>
          <w:rFonts w:ascii="Times New Roman" w:hAnsi="Times New Roman" w:cs="Times New Roman"/>
          <w:i/>
          <w:iCs/>
          <w:sz w:val="28"/>
          <w:szCs w:val="28"/>
        </w:rPr>
        <w:t xml:space="preserve"> </w:t>
      </w:r>
      <w:r w:rsidRPr="00762190">
        <w:rPr>
          <w:rFonts w:ascii="Times New Roman" w:hAnsi="Times New Roman" w:cs="Times New Roman"/>
          <w:i/>
          <w:iCs/>
          <w:sz w:val="28"/>
          <w:szCs w:val="28"/>
          <w:lang w:val="en-US"/>
        </w:rPr>
        <w:t>Credit</w:t>
      </w:r>
      <w:r w:rsidRPr="00762190">
        <w:rPr>
          <w:rFonts w:ascii="Times New Roman" w:hAnsi="Times New Roman" w:cs="Times New Roman"/>
          <w:i/>
          <w:iCs/>
          <w:sz w:val="28"/>
          <w:szCs w:val="28"/>
        </w:rPr>
        <w:t xml:space="preserve"> </w:t>
      </w:r>
      <w:r w:rsidRPr="00762190">
        <w:rPr>
          <w:rFonts w:ascii="Times New Roman" w:hAnsi="Times New Roman" w:cs="Times New Roman"/>
          <w:i/>
          <w:iCs/>
          <w:sz w:val="28"/>
          <w:szCs w:val="28"/>
          <w:lang w:val="en-US"/>
        </w:rPr>
        <w:t>Suisse</w:t>
      </w:r>
    </w:p>
    <w:p w14:paraId="6D0EF7A6"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В рамках сокращения расходов на социальные программы, предусмотренного во </w:t>
      </w:r>
      <w:r w:rsidRPr="00762190">
        <w:rPr>
          <w:rFonts w:ascii="Times New Roman" w:hAnsi="Times New Roman" w:cs="Times New Roman"/>
          <w:sz w:val="28"/>
          <w:szCs w:val="28"/>
          <w:lang w:val="en-US"/>
        </w:rPr>
        <w:t>II</w:t>
      </w:r>
      <w:r w:rsidRPr="00762190">
        <w:rPr>
          <w:rFonts w:ascii="Times New Roman" w:hAnsi="Times New Roman" w:cs="Times New Roman"/>
          <w:sz w:val="28"/>
          <w:szCs w:val="28"/>
        </w:rPr>
        <w:t xml:space="preserve"> и </w:t>
      </w:r>
      <w:r w:rsidRPr="00762190">
        <w:rPr>
          <w:rFonts w:ascii="Times New Roman" w:hAnsi="Times New Roman" w:cs="Times New Roman"/>
          <w:sz w:val="28"/>
          <w:szCs w:val="28"/>
          <w:lang w:val="en-US"/>
        </w:rPr>
        <w:t>III</w:t>
      </w:r>
      <w:r w:rsidRPr="00762190">
        <w:rPr>
          <w:rFonts w:ascii="Times New Roman" w:hAnsi="Times New Roman" w:cs="Times New Roman"/>
          <w:sz w:val="28"/>
          <w:szCs w:val="28"/>
        </w:rPr>
        <w:t xml:space="preserve"> этапах, </w:t>
      </w:r>
      <w:r>
        <w:rPr>
          <w:rFonts w:ascii="Times New Roman" w:hAnsi="Times New Roman" w:cs="Times New Roman"/>
          <w:sz w:val="28"/>
          <w:szCs w:val="28"/>
        </w:rPr>
        <w:t>должны</w:t>
      </w:r>
      <w:r w:rsidRPr="00762190">
        <w:rPr>
          <w:rFonts w:ascii="Times New Roman" w:hAnsi="Times New Roman" w:cs="Times New Roman"/>
          <w:sz w:val="28"/>
          <w:szCs w:val="28"/>
        </w:rPr>
        <w:t xml:space="preserve"> быть определены категории граждан, чей уровень социальной поддержки со стороны государства не должен уменьшаться. К таким категориям могут быть отнесены, например, инвалиды, дети-сироты, военные.</w:t>
      </w:r>
    </w:p>
    <w:p w14:paraId="723F82DA"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Аналогично, могут быть определены программы, по которым происходит замещение адресных выплат базовым доходом. Например, если гражданин получает базовый доход (на себя) и претендует на другую действующую льготу или пособие, то деньги по другой льготе или пособию выплачиваются только в том случае, если сумма превышает размер базового дохода и в той части, в которой он ее превышает. То есть, если мать получает 6</w:t>
      </w:r>
      <w:r>
        <w:rPr>
          <w:rFonts w:ascii="Times New Roman" w:hAnsi="Times New Roman" w:cs="Times New Roman"/>
          <w:sz w:val="28"/>
          <w:szCs w:val="28"/>
        </w:rPr>
        <w:t> </w:t>
      </w:r>
      <w:r w:rsidRPr="00762190">
        <w:rPr>
          <w:rFonts w:ascii="Times New Roman" w:hAnsi="Times New Roman" w:cs="Times New Roman"/>
          <w:sz w:val="28"/>
          <w:szCs w:val="28"/>
        </w:rPr>
        <w:t>000</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на себя (после второго этапа) и подала документы на пособие по безработице, то из назначенного ей пособия в размере 8</w:t>
      </w:r>
      <w:r>
        <w:rPr>
          <w:rFonts w:ascii="Times New Roman" w:hAnsi="Times New Roman" w:cs="Times New Roman"/>
          <w:sz w:val="28"/>
          <w:szCs w:val="28"/>
        </w:rPr>
        <w:t> </w:t>
      </w:r>
      <w:r w:rsidRPr="00762190">
        <w:rPr>
          <w:rFonts w:ascii="Times New Roman" w:hAnsi="Times New Roman" w:cs="Times New Roman"/>
          <w:sz w:val="28"/>
          <w:szCs w:val="28"/>
        </w:rPr>
        <w:t>000</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будет выплачено только 2</w:t>
      </w:r>
      <w:r>
        <w:rPr>
          <w:rFonts w:ascii="Times New Roman" w:hAnsi="Times New Roman" w:cs="Times New Roman"/>
          <w:sz w:val="28"/>
          <w:szCs w:val="28"/>
        </w:rPr>
        <w:t> </w:t>
      </w:r>
      <w:r w:rsidRPr="00762190">
        <w:rPr>
          <w:rFonts w:ascii="Times New Roman" w:hAnsi="Times New Roman" w:cs="Times New Roman"/>
          <w:sz w:val="28"/>
          <w:szCs w:val="28"/>
        </w:rPr>
        <w:t>000</w:t>
      </w:r>
      <w:r>
        <w:rPr>
          <w:rFonts w:ascii="Times New Roman" w:hAnsi="Times New Roman" w:cs="Times New Roman"/>
          <w:sz w:val="28"/>
          <w:szCs w:val="28"/>
        </w:rPr>
        <w:t xml:space="preserve"> руб</w:t>
      </w:r>
      <w:r w:rsidRPr="00762190">
        <w:rPr>
          <w:rFonts w:ascii="Times New Roman" w:hAnsi="Times New Roman" w:cs="Times New Roman"/>
          <w:sz w:val="28"/>
          <w:szCs w:val="28"/>
        </w:rPr>
        <w:t xml:space="preserve">. </w:t>
      </w:r>
      <w:proofErr w:type="gramStart"/>
      <w:r w:rsidRPr="00762190">
        <w:rPr>
          <w:rFonts w:ascii="Times New Roman" w:hAnsi="Times New Roman" w:cs="Times New Roman"/>
          <w:sz w:val="28"/>
          <w:szCs w:val="28"/>
        </w:rPr>
        <w:t>При этом,</w:t>
      </w:r>
      <w:proofErr w:type="gramEnd"/>
      <w:r w:rsidRPr="00762190">
        <w:rPr>
          <w:rFonts w:ascii="Times New Roman" w:hAnsi="Times New Roman" w:cs="Times New Roman"/>
          <w:sz w:val="28"/>
          <w:szCs w:val="28"/>
        </w:rPr>
        <w:t xml:space="preserve"> «замещать» можно только один раз в месяц и только по одной социальной программе федерального или регионального уровня.</w:t>
      </w:r>
    </w:p>
    <w:p w14:paraId="098BE69A"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В дальнейшем социальные программы могут быть перестроены вокруг базового дохода таким образом, чтобы размер дополнительно получаемых средств составлял долю от базового дохода для той или иной группы. Например, ежемесячное пособие на содержание ребенка, оставшегося без попечительства, может составлять 1 базовый доход ребенка. Получается, что опекун будет получать 2 базовых дохода ребенка (первый по общим основаниям, второй по опекунству) или 1 прожиточный минимум, установлен</w:t>
      </w:r>
      <w:r>
        <w:rPr>
          <w:rFonts w:ascii="Times New Roman" w:hAnsi="Times New Roman" w:cs="Times New Roman"/>
          <w:sz w:val="28"/>
          <w:szCs w:val="28"/>
        </w:rPr>
        <w:t>ный</w:t>
      </w:r>
      <w:r w:rsidRPr="00762190">
        <w:rPr>
          <w:rFonts w:ascii="Times New Roman" w:hAnsi="Times New Roman" w:cs="Times New Roman"/>
          <w:sz w:val="28"/>
          <w:szCs w:val="28"/>
        </w:rPr>
        <w:t xml:space="preserve"> в регионе, за усыновленного ребенка. Это позволит упростить администрирование всей системы социальной поддержки населения.</w:t>
      </w:r>
    </w:p>
    <w:p w14:paraId="571A49BB" w14:textId="77777777" w:rsidR="007C32A8" w:rsidRPr="00762190" w:rsidRDefault="007C32A8" w:rsidP="007C32A8">
      <w:pPr>
        <w:spacing w:line="360" w:lineRule="auto"/>
        <w:ind w:firstLine="709"/>
        <w:jc w:val="both"/>
        <w:rPr>
          <w:rFonts w:ascii="Times New Roman" w:hAnsi="Times New Roman" w:cs="Times New Roman"/>
          <w:sz w:val="28"/>
          <w:szCs w:val="28"/>
        </w:rPr>
      </w:pPr>
      <w:r w:rsidRPr="00762190">
        <w:rPr>
          <w:rFonts w:ascii="Times New Roman" w:hAnsi="Times New Roman" w:cs="Times New Roman"/>
          <w:sz w:val="28"/>
          <w:szCs w:val="28"/>
        </w:rPr>
        <w:t xml:space="preserve">В долгосрочном периоде расходы на программу снижаются, так как на исторических данных видно, что отношение прожиточного минимума, рассчитанного по старой методологии, и ВВП, при росте экономики, снижается (рис. </w:t>
      </w:r>
      <w:r>
        <w:rPr>
          <w:rFonts w:ascii="Times New Roman" w:hAnsi="Times New Roman" w:cs="Times New Roman"/>
          <w:sz w:val="28"/>
          <w:szCs w:val="28"/>
        </w:rPr>
        <w:t>6.8</w:t>
      </w:r>
      <w:r w:rsidRPr="00762190">
        <w:rPr>
          <w:rFonts w:ascii="Times New Roman" w:hAnsi="Times New Roman" w:cs="Times New Roman"/>
          <w:sz w:val="28"/>
          <w:szCs w:val="28"/>
        </w:rPr>
        <w:t xml:space="preserve">). Поэтому, рост расходов на программу может быть связан с: </w:t>
      </w:r>
    </w:p>
    <w:p w14:paraId="268B7615" w14:textId="77777777" w:rsidR="007C32A8" w:rsidRPr="00762190" w:rsidRDefault="007C32A8" w:rsidP="007C32A8">
      <w:pPr>
        <w:pStyle w:val="a5"/>
        <w:numPr>
          <w:ilvl w:val="0"/>
          <w:numId w:val="3"/>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Ростом численности населения, соответствующим критериям получения выплат;</w:t>
      </w:r>
    </w:p>
    <w:p w14:paraId="4F3DD3BA" w14:textId="77777777" w:rsidR="007C32A8" w:rsidRPr="00762190" w:rsidRDefault="007C32A8" w:rsidP="007C32A8">
      <w:pPr>
        <w:pStyle w:val="a5"/>
        <w:numPr>
          <w:ilvl w:val="0"/>
          <w:numId w:val="3"/>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Расширением покрытия программы на все большую долю населения, по мере реализации этапов;</w:t>
      </w:r>
    </w:p>
    <w:p w14:paraId="11F06715" w14:textId="77777777" w:rsidR="007C32A8" w:rsidRPr="00762190" w:rsidRDefault="007C32A8" w:rsidP="007C32A8">
      <w:pPr>
        <w:pStyle w:val="a5"/>
        <w:numPr>
          <w:ilvl w:val="0"/>
          <w:numId w:val="3"/>
        </w:num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Увеличением значения медианной заработной платы.</w:t>
      </w:r>
    </w:p>
    <w:p w14:paraId="4EAF424E" w14:textId="77777777" w:rsidR="007C32A8" w:rsidRPr="00762190" w:rsidRDefault="007C32A8" w:rsidP="007C32A8">
      <w:pPr>
        <w:spacing w:line="360" w:lineRule="auto"/>
        <w:jc w:val="both"/>
        <w:rPr>
          <w:rFonts w:ascii="Times New Roman" w:hAnsi="Times New Roman" w:cs="Times New Roman"/>
          <w:sz w:val="28"/>
          <w:szCs w:val="28"/>
        </w:rPr>
      </w:pPr>
      <w:r>
        <w:rPr>
          <w:noProof/>
          <w:lang w:eastAsia="ru-RU"/>
        </w:rPr>
        <w:drawing>
          <wp:inline distT="0" distB="0" distL="0" distR="0" wp14:anchorId="379FC4A9" wp14:editId="0748565F">
            <wp:extent cx="5940425" cy="3240000"/>
            <wp:effectExtent l="0" t="0" r="15875" b="11430"/>
            <wp:docPr id="15" name="Диаграмма 15">
              <a:extLst xmlns:a="http://schemas.openxmlformats.org/drawingml/2006/main">
                <a:ext uri="{FF2B5EF4-FFF2-40B4-BE49-F238E27FC236}">
                  <a16:creationId xmlns:a16="http://schemas.microsoft.com/office/drawing/2014/main" id="{E4F62DE9-A01E-4CDF-BCB4-18B82D2FA2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48F9496" w14:textId="77777777" w:rsidR="007C32A8" w:rsidRPr="00762190" w:rsidRDefault="007C32A8" w:rsidP="007C32A8">
      <w:pPr>
        <w:spacing w:line="360" w:lineRule="auto"/>
        <w:jc w:val="both"/>
        <w:rPr>
          <w:rFonts w:ascii="Times New Roman" w:hAnsi="Times New Roman" w:cs="Times New Roman"/>
          <w:sz w:val="28"/>
          <w:szCs w:val="28"/>
        </w:rPr>
      </w:pPr>
      <w:r w:rsidRPr="00762190">
        <w:rPr>
          <w:rFonts w:ascii="Times New Roman" w:hAnsi="Times New Roman" w:cs="Times New Roman"/>
          <w:sz w:val="28"/>
          <w:szCs w:val="28"/>
        </w:rPr>
        <w:t xml:space="preserve">Рисунок </w:t>
      </w:r>
      <w:r>
        <w:rPr>
          <w:rFonts w:ascii="Times New Roman" w:hAnsi="Times New Roman" w:cs="Times New Roman"/>
          <w:sz w:val="28"/>
          <w:szCs w:val="28"/>
        </w:rPr>
        <w:t>6.8</w:t>
      </w:r>
      <w:r w:rsidRPr="00762190">
        <w:rPr>
          <w:rFonts w:ascii="Times New Roman" w:hAnsi="Times New Roman" w:cs="Times New Roman"/>
          <w:sz w:val="28"/>
          <w:szCs w:val="28"/>
        </w:rPr>
        <w:t>. Отношение прожиточного минимума к ВВП</w:t>
      </w:r>
    </w:p>
    <w:p w14:paraId="034407B3" w14:textId="77777777" w:rsidR="007C32A8" w:rsidRPr="004A58B6" w:rsidRDefault="007C32A8" w:rsidP="007C32A8">
      <w:pPr>
        <w:spacing w:line="360" w:lineRule="auto"/>
        <w:jc w:val="both"/>
        <w:rPr>
          <w:rFonts w:ascii="Times New Roman" w:hAnsi="Times New Roman" w:cs="Times New Roman"/>
          <w:i/>
          <w:iCs/>
          <w:sz w:val="28"/>
          <w:szCs w:val="28"/>
        </w:rPr>
      </w:pPr>
      <w:r w:rsidRPr="004A58B6">
        <w:rPr>
          <w:rFonts w:ascii="Times New Roman" w:hAnsi="Times New Roman" w:cs="Times New Roman"/>
          <w:i/>
          <w:iCs/>
          <w:sz w:val="28"/>
          <w:szCs w:val="28"/>
        </w:rPr>
        <w:t>Источник: расчеты ИНП РАН по данным Росстата</w:t>
      </w:r>
    </w:p>
    <w:p w14:paraId="63E82342" w14:textId="77777777" w:rsidR="007C32A8" w:rsidRPr="006C0524" w:rsidRDefault="007C32A8" w:rsidP="007C32A8">
      <w:pPr>
        <w:spacing w:line="360" w:lineRule="auto"/>
        <w:ind w:firstLine="709"/>
        <w:jc w:val="both"/>
        <w:rPr>
          <w:rFonts w:ascii="Times New Roman" w:hAnsi="Times New Roman" w:cs="Times New Roman"/>
          <w:sz w:val="28"/>
          <w:szCs w:val="28"/>
        </w:rPr>
      </w:pPr>
      <w:r w:rsidRPr="006C0524">
        <w:rPr>
          <w:rFonts w:ascii="Times New Roman" w:hAnsi="Times New Roman" w:cs="Times New Roman"/>
          <w:sz w:val="28"/>
          <w:szCs w:val="28"/>
        </w:rPr>
        <w:t xml:space="preserve">Подобное поэтапное введение </w:t>
      </w:r>
      <w:r>
        <w:rPr>
          <w:rFonts w:ascii="Times New Roman" w:hAnsi="Times New Roman" w:cs="Times New Roman"/>
          <w:sz w:val="28"/>
          <w:szCs w:val="28"/>
        </w:rPr>
        <w:t>ББД</w:t>
      </w:r>
      <w:r w:rsidRPr="006C0524">
        <w:rPr>
          <w:rFonts w:ascii="Times New Roman" w:hAnsi="Times New Roman" w:cs="Times New Roman"/>
          <w:sz w:val="28"/>
          <w:szCs w:val="28"/>
        </w:rPr>
        <w:t xml:space="preserve"> для семей с детьми позволит снизить риски, связанные с мотивацией к труду и потенциальным сокращением объемов предложения рабочей силы. Размер выплат на первом этапе не может привести к заметному снижению занятости, так как ее размер составляет только половину прожиточного минимума при МРОТе равном одному прожиточному минимуму, и не приведут к резкому росту доходов граждан. В то же время, по мере реализации этапов количество рабочих мест и размер фонда оплаты труда будут расти, так как изменится объем и структура потребительского спроса. Это приведет к еще большему снижению соотношения выплат и трудового дохода, что положительно отразится на занятости.</w:t>
      </w:r>
    </w:p>
    <w:p w14:paraId="5B9D94E3" w14:textId="77777777" w:rsidR="007C32A8" w:rsidRPr="006C0524" w:rsidRDefault="007C32A8" w:rsidP="007C32A8">
      <w:pPr>
        <w:spacing w:line="360" w:lineRule="auto"/>
        <w:ind w:firstLine="709"/>
        <w:jc w:val="both"/>
        <w:rPr>
          <w:rFonts w:ascii="Times New Roman" w:hAnsi="Times New Roman" w:cs="Times New Roman"/>
          <w:sz w:val="28"/>
          <w:szCs w:val="28"/>
        </w:rPr>
      </w:pPr>
      <w:r w:rsidRPr="006C0524">
        <w:rPr>
          <w:rFonts w:ascii="Times New Roman" w:hAnsi="Times New Roman" w:cs="Times New Roman"/>
          <w:sz w:val="28"/>
          <w:szCs w:val="28"/>
        </w:rPr>
        <w:t xml:space="preserve">В долгосрочной перспективе при наращивании автоматизации труда и высвобождении трудовых ресурсов, часть людей не только перейдет в сектор услуг, как это обычно бывает в странах с большим числом высокотехнологичных производств, но и сможет заняться образованием и </w:t>
      </w:r>
      <w:proofErr w:type="spellStart"/>
      <w:r w:rsidRPr="006C0524">
        <w:rPr>
          <w:rFonts w:ascii="Times New Roman" w:hAnsi="Times New Roman" w:cs="Times New Roman"/>
          <w:sz w:val="28"/>
          <w:szCs w:val="28"/>
        </w:rPr>
        <w:t>волонтерством</w:t>
      </w:r>
      <w:proofErr w:type="spellEnd"/>
      <w:r w:rsidRPr="006C0524">
        <w:rPr>
          <w:rFonts w:ascii="Times New Roman" w:hAnsi="Times New Roman" w:cs="Times New Roman"/>
          <w:sz w:val="28"/>
          <w:szCs w:val="28"/>
        </w:rPr>
        <w:t>. Со стороны государства для этого потребуется создавать соответствующую социальную среду, занимаясь не только просветительской деятельностью, но и поддерживая необходимую инфраструктуру, в том числе и цифровую.</w:t>
      </w:r>
    </w:p>
    <w:p w14:paraId="4765A740" w14:textId="77777777" w:rsidR="007C32A8" w:rsidRPr="006C0524" w:rsidRDefault="007C32A8" w:rsidP="007C32A8">
      <w:pPr>
        <w:spacing w:line="360" w:lineRule="auto"/>
        <w:ind w:firstLine="709"/>
        <w:jc w:val="both"/>
        <w:rPr>
          <w:rFonts w:ascii="Times New Roman" w:hAnsi="Times New Roman" w:cs="Times New Roman"/>
          <w:sz w:val="28"/>
          <w:szCs w:val="28"/>
        </w:rPr>
      </w:pPr>
      <w:r w:rsidRPr="006C0524">
        <w:rPr>
          <w:rFonts w:ascii="Times New Roman" w:hAnsi="Times New Roman" w:cs="Times New Roman"/>
          <w:sz w:val="28"/>
          <w:szCs w:val="28"/>
        </w:rPr>
        <w:t xml:space="preserve">Необходимо добавить, что поэтапное введение </w:t>
      </w:r>
      <w:r>
        <w:rPr>
          <w:rFonts w:ascii="Times New Roman" w:hAnsi="Times New Roman" w:cs="Times New Roman"/>
          <w:sz w:val="28"/>
          <w:szCs w:val="28"/>
        </w:rPr>
        <w:t>ББД</w:t>
      </w:r>
      <w:r w:rsidRPr="006C0524">
        <w:rPr>
          <w:rFonts w:ascii="Times New Roman" w:hAnsi="Times New Roman" w:cs="Times New Roman"/>
          <w:sz w:val="28"/>
          <w:szCs w:val="28"/>
        </w:rPr>
        <w:t xml:space="preserve"> снижает </w:t>
      </w:r>
      <w:proofErr w:type="spellStart"/>
      <w:r w:rsidRPr="006C0524">
        <w:rPr>
          <w:rFonts w:ascii="Times New Roman" w:hAnsi="Times New Roman" w:cs="Times New Roman"/>
          <w:sz w:val="28"/>
          <w:szCs w:val="28"/>
        </w:rPr>
        <w:t>проинфляционные</w:t>
      </w:r>
      <w:proofErr w:type="spellEnd"/>
      <w:r w:rsidRPr="006C0524">
        <w:rPr>
          <w:rFonts w:ascii="Times New Roman" w:hAnsi="Times New Roman" w:cs="Times New Roman"/>
          <w:sz w:val="28"/>
          <w:szCs w:val="28"/>
        </w:rPr>
        <w:t xml:space="preserve"> риски, вызванные изменением структуры спроса. Так как средства перераспределяются из верхней </w:t>
      </w:r>
      <w:proofErr w:type="spellStart"/>
      <w:r w:rsidRPr="006C0524">
        <w:rPr>
          <w:rFonts w:ascii="Times New Roman" w:hAnsi="Times New Roman" w:cs="Times New Roman"/>
          <w:sz w:val="28"/>
          <w:szCs w:val="28"/>
        </w:rPr>
        <w:t>децильной</w:t>
      </w:r>
      <w:proofErr w:type="spellEnd"/>
      <w:r w:rsidRPr="006C0524">
        <w:rPr>
          <w:rFonts w:ascii="Times New Roman" w:hAnsi="Times New Roman" w:cs="Times New Roman"/>
          <w:sz w:val="28"/>
          <w:szCs w:val="28"/>
        </w:rPr>
        <w:t xml:space="preserve"> группы в более низкие, изменяется объем спроса на рынках, обслуживающих разные группы потребителей в разных регионах. При поэтапной реализации программы структура спроса меняется не так быстро, что позволит предложению адаптироваться, нарастив объемы производства, а не увеличив цены.</w:t>
      </w:r>
    </w:p>
    <w:p w14:paraId="21CE1379" w14:textId="77777777" w:rsidR="007C32A8" w:rsidRPr="006C0524" w:rsidRDefault="007C32A8" w:rsidP="007C32A8">
      <w:pPr>
        <w:spacing w:line="360" w:lineRule="auto"/>
        <w:ind w:firstLine="709"/>
        <w:jc w:val="both"/>
        <w:rPr>
          <w:rFonts w:ascii="Times New Roman" w:hAnsi="Times New Roman" w:cs="Times New Roman"/>
          <w:sz w:val="28"/>
          <w:szCs w:val="28"/>
        </w:rPr>
      </w:pPr>
      <w:r w:rsidRPr="006C0524">
        <w:rPr>
          <w:rFonts w:ascii="Times New Roman" w:hAnsi="Times New Roman" w:cs="Times New Roman"/>
          <w:sz w:val="28"/>
          <w:szCs w:val="28"/>
        </w:rPr>
        <w:t>С целью получения точных данных об изменении структуры потребительского спроса возможно проведение полноценного эксперимента с безусловными выплатами. В дальнейшем эти данные могут быть использованы для уточнения отраслевых политик, что позволит заранее простимулировать создание дополнительных производственных мощностей перед ростом потребительского спроса в рамках реализации вышеописанных этапов.</w:t>
      </w:r>
    </w:p>
    <w:p w14:paraId="79CDDEE6" w14:textId="77777777" w:rsidR="007C32A8" w:rsidRPr="006C0524" w:rsidRDefault="007C32A8"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Pr="006C0524">
        <w:rPr>
          <w:rFonts w:ascii="Times New Roman" w:hAnsi="Times New Roman" w:cs="Times New Roman"/>
          <w:sz w:val="28"/>
          <w:szCs w:val="28"/>
        </w:rPr>
        <w:t xml:space="preserve">еализация такого рода программы может стать прочной основой для нового общественного договора и фундаментом для долгого государства. Даже спустя четверть века итоги приватизации воспринимаются обществом как несправедливые. Полностью введенный </w:t>
      </w:r>
      <w:r>
        <w:rPr>
          <w:rFonts w:ascii="Times New Roman" w:hAnsi="Times New Roman" w:cs="Times New Roman"/>
          <w:sz w:val="28"/>
          <w:szCs w:val="28"/>
        </w:rPr>
        <w:t>ББД</w:t>
      </w:r>
      <w:r w:rsidRPr="006C0524">
        <w:rPr>
          <w:rFonts w:ascii="Times New Roman" w:hAnsi="Times New Roman" w:cs="Times New Roman"/>
          <w:sz w:val="28"/>
          <w:szCs w:val="28"/>
        </w:rPr>
        <w:t xml:space="preserve"> способен исправить эту ситуацию, так как грамотно проведенная народная приватизация </w:t>
      </w:r>
      <w:r>
        <w:rPr>
          <w:rFonts w:ascii="Times New Roman" w:hAnsi="Times New Roman" w:cs="Times New Roman"/>
          <w:sz w:val="28"/>
          <w:szCs w:val="28"/>
        </w:rPr>
        <w:t>19</w:t>
      </w:r>
      <w:r w:rsidRPr="006C0524">
        <w:rPr>
          <w:rFonts w:ascii="Times New Roman" w:hAnsi="Times New Roman" w:cs="Times New Roman"/>
          <w:sz w:val="28"/>
          <w:szCs w:val="28"/>
        </w:rPr>
        <w:t>90-х годов была бы эквивалентна базовому доходу за тем лишь исключением, что право собственности на активы можно наследовать, создавая неравенство в распределении приватизированной собственности, а базовый доход – нет.</w:t>
      </w:r>
    </w:p>
    <w:p w14:paraId="69ED0481" w14:textId="77777777" w:rsidR="007C32A8" w:rsidRPr="00322B2E" w:rsidRDefault="007C32A8" w:rsidP="007C32A8">
      <w:pPr>
        <w:spacing w:line="360" w:lineRule="auto"/>
        <w:ind w:firstLine="709"/>
        <w:jc w:val="both"/>
        <w:rPr>
          <w:rFonts w:ascii="Times New Roman" w:hAnsi="Times New Roman" w:cs="Times New Roman"/>
          <w:sz w:val="28"/>
          <w:szCs w:val="28"/>
        </w:rPr>
      </w:pPr>
      <w:r w:rsidRPr="006C0524">
        <w:rPr>
          <w:rFonts w:ascii="Times New Roman" w:hAnsi="Times New Roman" w:cs="Times New Roman"/>
          <w:sz w:val="28"/>
          <w:szCs w:val="28"/>
        </w:rPr>
        <w:t>Таким образом, в стране сложилась уникальная ситуация, когда в обозримом будущем можно решить такие хронические для современного российского общества проблемы, как бедность и неравенство доходов населения, низкий уровень общественного доверия к государственным институтам, а также отсутствие образа будущего, признаваемого большей частью народа.</w:t>
      </w:r>
      <w:r w:rsidRPr="00762190">
        <w:rPr>
          <w:rFonts w:ascii="Times New Roman" w:hAnsi="Times New Roman" w:cs="Times New Roman"/>
          <w:sz w:val="28"/>
          <w:szCs w:val="28"/>
        </w:rPr>
        <w:br w:type="page"/>
      </w:r>
    </w:p>
    <w:p w14:paraId="638F63ED" w14:textId="73877FED" w:rsidR="00A63E81" w:rsidRPr="006E3DC0" w:rsidRDefault="006E3DC0" w:rsidP="00A63E81">
      <w:pPr>
        <w:pStyle w:val="1"/>
        <w:numPr>
          <w:ilvl w:val="0"/>
          <w:numId w:val="14"/>
        </w:numPr>
        <w:jc w:val="both"/>
        <w:rPr>
          <w:rFonts w:ascii="Times New Roman" w:hAnsi="Times New Roman" w:cs="Times New Roman"/>
          <w:color w:val="000000" w:themeColor="text1"/>
        </w:rPr>
      </w:pPr>
      <w:bookmarkStart w:id="8" w:name="_Toc67417872"/>
      <w:r w:rsidRPr="006E3DC0">
        <w:rPr>
          <w:rFonts w:ascii="Times New Roman" w:hAnsi="Times New Roman" w:cs="Times New Roman"/>
          <w:color w:val="000000" w:themeColor="text1"/>
        </w:rPr>
        <w:t>Межрегиональная дифференциация показателей</w:t>
      </w:r>
      <w:r>
        <w:rPr>
          <w:rFonts w:ascii="Times New Roman" w:hAnsi="Times New Roman" w:cs="Times New Roman"/>
          <w:color w:val="000000" w:themeColor="text1"/>
        </w:rPr>
        <w:t xml:space="preserve"> </w:t>
      </w:r>
      <w:r w:rsidRPr="006E3DC0">
        <w:rPr>
          <w:rFonts w:ascii="Times New Roman" w:hAnsi="Times New Roman" w:cs="Times New Roman"/>
          <w:color w:val="000000" w:themeColor="text1"/>
        </w:rPr>
        <w:t>социального развития</w:t>
      </w:r>
      <w:bookmarkEnd w:id="8"/>
    </w:p>
    <w:p w14:paraId="0EF95E4E" w14:textId="77777777" w:rsidR="00A63E81" w:rsidRPr="00A63E81" w:rsidRDefault="00A63E81" w:rsidP="00A63E81">
      <w:pPr>
        <w:spacing w:after="0" w:line="240" w:lineRule="auto"/>
        <w:ind w:left="360"/>
        <w:jc w:val="center"/>
        <w:rPr>
          <w:rFonts w:ascii="Times New Roman" w:hAnsi="Times New Roman" w:cs="Times New Roman"/>
          <w:sz w:val="24"/>
          <w:szCs w:val="24"/>
        </w:rPr>
      </w:pPr>
    </w:p>
    <w:p w14:paraId="0FA39CB2" w14:textId="77777777" w:rsidR="00A63E81" w:rsidRPr="00A63E81" w:rsidRDefault="00A63E81" w:rsidP="00A63E81">
      <w:pPr>
        <w:spacing w:after="0" w:line="240" w:lineRule="auto"/>
        <w:ind w:left="360"/>
        <w:jc w:val="center"/>
        <w:rPr>
          <w:rFonts w:ascii="Times New Roman" w:hAnsi="Times New Roman" w:cs="Times New Roman"/>
          <w:sz w:val="24"/>
          <w:szCs w:val="24"/>
        </w:rPr>
      </w:pPr>
    </w:p>
    <w:p w14:paraId="12BF21A6" w14:textId="33979FFA"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CD41C4">
        <w:rPr>
          <w:rFonts w:ascii="Times New Roman" w:eastAsia="Calibri" w:hAnsi="Times New Roman" w:cs="Times New Roman"/>
          <w:sz w:val="28"/>
          <w:szCs w:val="24"/>
        </w:rPr>
        <w:t>Диф</w:t>
      </w:r>
      <w:r w:rsidRPr="006E3DC0">
        <w:rPr>
          <w:rFonts w:ascii="Times New Roman" w:eastAsia="Calibri" w:hAnsi="Times New Roman" w:cs="Times New Roman"/>
          <w:sz w:val="28"/>
          <w:szCs w:val="24"/>
        </w:rPr>
        <w:t>ференциация уровней социального и экономического развития регионов относится к важнейшим характеристикам не только пространства, но состояния социально-экономической системы в целом. В качестве основного показателя для оценки межрегиональной дифференциации используется валовой региональный продукт на душу населения. В России разрыв между максимальным и минимальным показателями среднедушевого ВРП субъектов Российской Федерации составлял в 2018 году 61,7 раза (Ненецкий автономный округ и Республика Ингушетия), при учете межрегиональной дифференциации цен</w:t>
      </w:r>
      <w:r w:rsidRPr="006E3DC0">
        <w:rPr>
          <w:rStyle w:val="ad"/>
          <w:rFonts w:ascii="Times New Roman" w:eastAsia="Calibri" w:hAnsi="Times New Roman" w:cs="Times New Roman"/>
          <w:sz w:val="28"/>
          <w:szCs w:val="24"/>
        </w:rPr>
        <w:footnoteReference w:id="42"/>
      </w:r>
      <w:r w:rsidRPr="006E3DC0">
        <w:rPr>
          <w:rFonts w:ascii="Times New Roman" w:eastAsia="Calibri" w:hAnsi="Times New Roman" w:cs="Times New Roman"/>
          <w:sz w:val="28"/>
          <w:szCs w:val="24"/>
        </w:rPr>
        <w:t xml:space="preserve"> разрыв сокращается до 40,1 раза (Ненецкий автономный округ и Чеченская Республика). Для более крупных региональных систем – федеральных округов разрыв между максимальным и минимальным уровнями среднедушевого ВРП сокращается до 5,2 раз, а с учетом межрегиональной дифференциации цен до 5,1 раза. </w:t>
      </w:r>
    </w:p>
    <w:p w14:paraId="497A8DA2"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Прямые сопоставления межрегиональных различий в России с другими странами не вполне корректны, поскольку используемые для сравнения территориально-административные единицы в разных странах выделены по разным принципам, тем не менее, приведем для иллюстрации некоторые показатели. В странах Европейского Союз, где выравнивание различий в уровнях экономического развития регионов является одним из основополагающих принципов региональной политики, различия среднедушевых показателей ВРП также существенны, причем выше они в восточно-европейских странах. В Германии разрыв между максимальным и минимальным показателями ВРП на душу населения в разрезе </w:t>
      </w:r>
      <w:r w:rsidRPr="006E3DC0">
        <w:rPr>
          <w:rFonts w:ascii="Times New Roman" w:eastAsia="Calibri" w:hAnsi="Times New Roman" w:cs="Times New Roman"/>
          <w:sz w:val="28"/>
          <w:szCs w:val="24"/>
          <w:lang w:val="en-US"/>
        </w:rPr>
        <w:t>NUTS</w:t>
      </w:r>
      <w:r w:rsidRPr="006E3DC0">
        <w:rPr>
          <w:rFonts w:ascii="Times New Roman" w:eastAsia="Calibri" w:hAnsi="Times New Roman" w:cs="Times New Roman"/>
          <w:sz w:val="28"/>
          <w:szCs w:val="24"/>
        </w:rPr>
        <w:t>-2 составлял в 2018 году 2,3 раза, во Франции – 2,4 раза, в Италии – 2,8 раз, в Великобритании – 3 раза, в Чехии – 3 раза, в Польше – 3,2 раза</w:t>
      </w:r>
      <w:r w:rsidRPr="006E3DC0">
        <w:rPr>
          <w:rStyle w:val="ad"/>
          <w:rFonts w:ascii="Times New Roman" w:eastAsia="Calibri" w:hAnsi="Times New Roman" w:cs="Times New Roman"/>
          <w:sz w:val="28"/>
          <w:szCs w:val="24"/>
        </w:rPr>
        <w:footnoteReference w:id="43"/>
      </w:r>
      <w:r w:rsidRPr="006E3DC0">
        <w:rPr>
          <w:rFonts w:ascii="Times New Roman" w:eastAsia="Calibri" w:hAnsi="Times New Roman" w:cs="Times New Roman"/>
          <w:sz w:val="28"/>
          <w:szCs w:val="24"/>
        </w:rPr>
        <w:t>. В Китае, в котором региональная политика основана на последовательном сокращении отставания экономики западных регионов от восточных, разрыв между максимальным и минимальным уровнями среднедушевого ВРП в 2018 году составлял 4,8 раз</w:t>
      </w:r>
      <w:r w:rsidRPr="006E3DC0">
        <w:rPr>
          <w:rStyle w:val="ad"/>
          <w:rFonts w:ascii="Times New Roman" w:eastAsia="Calibri" w:hAnsi="Times New Roman" w:cs="Times New Roman"/>
          <w:sz w:val="28"/>
          <w:szCs w:val="24"/>
        </w:rPr>
        <w:footnoteReference w:id="44"/>
      </w:r>
      <w:r w:rsidRPr="006E3DC0">
        <w:rPr>
          <w:rFonts w:ascii="Times New Roman" w:eastAsia="Calibri" w:hAnsi="Times New Roman" w:cs="Times New Roman"/>
          <w:sz w:val="28"/>
          <w:szCs w:val="24"/>
        </w:rPr>
        <w:t xml:space="preserve"> (Пекин и провинция Ганьсу), т.е. примерно на уровне дифференциации федеральных округов РФ, при этом китайские провинции абсолютно несопоставимы по численности населения и размеру экономики с субъектами РФ (при населении в 1,4 млрд. человек страна административно разделена на 31 провинцию). </w:t>
      </w:r>
    </w:p>
    <w:p w14:paraId="7D985FC2"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Во всех приведенных примерах (кроме Германии), основным фактором, определяющим степень межрегиональной дифференциации, является отрыв столичного региона, среднедушевой ВРП в котором превышает средний по стране показатель в </w:t>
      </w:r>
      <w:proofErr w:type="gramStart"/>
      <w:r w:rsidRPr="006E3DC0">
        <w:rPr>
          <w:rFonts w:ascii="Times New Roman" w:eastAsia="Calibri" w:hAnsi="Times New Roman" w:cs="Times New Roman"/>
          <w:sz w:val="28"/>
          <w:szCs w:val="24"/>
        </w:rPr>
        <w:t>1,5-2</w:t>
      </w:r>
      <w:proofErr w:type="gramEnd"/>
      <w:r w:rsidRPr="006E3DC0">
        <w:rPr>
          <w:rFonts w:ascii="Times New Roman" w:eastAsia="Calibri" w:hAnsi="Times New Roman" w:cs="Times New Roman"/>
          <w:sz w:val="28"/>
          <w:szCs w:val="24"/>
        </w:rPr>
        <w:t xml:space="preserve"> раза. Для России характерна другая ситуация, самый высокий среднедушевой ВРП отмечается в нефтегазодобывающих регионах, основных поставщиках углеводородного сырья на экспорт (Ненецкий, Ямало-Ненецкий автономные округа, ХМАО-Югра, Сахалинская область). В столице средние по стране показатели среднедушевого ВРП в 2018 году превышали среднероссийский уровень в 2,5 раз, при учете межрегиональной дифференциации цен – в 1,7 раз, что вполне сопоставимо с европейскими странами.   </w:t>
      </w:r>
    </w:p>
    <w:p w14:paraId="599E827F"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Сглаживание межрегиональных различий по большинству направлений социально-экономического развития заявлено в качестве целей региональной экономической политики не только в России, но и во всех странах, в которых государство предпринимает шаги по регулированию регионального развития. Чрезмерный уровень межрегиональной дифференциации имеет негативные последствия в экономической и социальной сфере. Экономические последствия чрезмерных разрывов в уровне развития регионов связаны с необходимостью перераспределения ограниченных ресурсов в пользу слабых регионов для поддержания в них условий для нормальной жизнедеятельности населения, выплату социальных пособий, поддержку региональных бюджетов и пр., и, соответственно, отвлечения ресурсов с более эффективных в экономическом плане направлений. Социальными последствиями чрезмерной межрегиональной дифференциации является потеря стимулов для развития регионов, нарастание социальной напряженности в обществе, которое приобретает политический характер. </w:t>
      </w:r>
    </w:p>
    <w:p w14:paraId="31012711"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Межрегиональные различия имеют объективный характер, они обусловлены множеством факторов, включая природно-климатические условия, исторические особенности развития регионов, сложившуюся структуру производства и расселения, </w:t>
      </w:r>
      <w:proofErr w:type="gramStart"/>
      <w:r w:rsidRPr="006E3DC0">
        <w:rPr>
          <w:rFonts w:ascii="Times New Roman" w:eastAsia="Calibri" w:hAnsi="Times New Roman" w:cs="Times New Roman"/>
          <w:sz w:val="28"/>
          <w:szCs w:val="24"/>
        </w:rPr>
        <w:t>т.е.</w:t>
      </w:r>
      <w:proofErr w:type="gramEnd"/>
      <w:r w:rsidRPr="006E3DC0">
        <w:rPr>
          <w:rFonts w:ascii="Times New Roman" w:eastAsia="Calibri" w:hAnsi="Times New Roman" w:cs="Times New Roman"/>
          <w:sz w:val="28"/>
          <w:szCs w:val="24"/>
        </w:rPr>
        <w:t xml:space="preserve"> устранить их невозможно, речь может идти только о сглаживании различий в случае, если они становятся «чрезмерными». </w:t>
      </w:r>
      <w:proofErr w:type="gramStart"/>
      <w:r w:rsidRPr="006E3DC0">
        <w:rPr>
          <w:rFonts w:ascii="Times New Roman" w:eastAsia="Calibri" w:hAnsi="Times New Roman" w:cs="Times New Roman"/>
          <w:sz w:val="28"/>
          <w:szCs w:val="24"/>
        </w:rPr>
        <w:t>Вместе с тем,</w:t>
      </w:r>
      <w:proofErr w:type="gramEnd"/>
      <w:r w:rsidRPr="006E3DC0">
        <w:rPr>
          <w:rFonts w:ascii="Times New Roman" w:eastAsia="Calibri" w:hAnsi="Times New Roman" w:cs="Times New Roman"/>
          <w:sz w:val="28"/>
          <w:szCs w:val="24"/>
        </w:rPr>
        <w:t xml:space="preserve"> определение «чрезмерного уровня» межрегиональных различий является субъективным</w:t>
      </w:r>
      <w:r w:rsidRPr="006E3DC0">
        <w:rPr>
          <w:rStyle w:val="ad"/>
          <w:rFonts w:ascii="Times New Roman" w:eastAsia="Calibri" w:hAnsi="Times New Roman" w:cs="Times New Roman"/>
          <w:sz w:val="28"/>
          <w:szCs w:val="24"/>
        </w:rPr>
        <w:footnoteReference w:id="45"/>
      </w:r>
      <w:r w:rsidRPr="006E3DC0">
        <w:rPr>
          <w:rFonts w:ascii="Times New Roman" w:eastAsia="Calibri" w:hAnsi="Times New Roman" w:cs="Times New Roman"/>
          <w:sz w:val="28"/>
          <w:szCs w:val="24"/>
        </w:rPr>
        <w:t xml:space="preserve">, поскольку объективного критерия для определения «чрезмерного» либо «приемлемого» уровня межрегиональных различий нет. В таком случае оценивать процессы межрегиональной дифференциации можно только с точки зрения трендов в динамике соответствующих индикаторов, показывающих снижение, либо усиление межрегиональных различий. </w:t>
      </w:r>
    </w:p>
    <w:p w14:paraId="1444845B"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В отличие от среднедушевого ВРП, в большей мере характеризующего экономику региона, более точным показателем экономического и социального положения домохозяйств в регионах являются денежные доходы населения и их динамика. </w:t>
      </w:r>
    </w:p>
    <w:p w14:paraId="23964DFC" w14:textId="77777777" w:rsidR="00A63E81" w:rsidRPr="006E3DC0" w:rsidRDefault="00A63E81" w:rsidP="006E3DC0">
      <w:pPr>
        <w:spacing w:after="0" w:line="360" w:lineRule="auto"/>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Для инерционных региональных систем тренды межрегиональных различий могут быть выявлены только с точки зрения достаточно продолжительного периода, но в этом случае реальные возможности оценки динамики и масштабов межрегиональной дифференциации ограничены доступной статистической базой</w:t>
      </w:r>
      <w:r w:rsidRPr="006E3DC0">
        <w:rPr>
          <w:rStyle w:val="ad"/>
          <w:rFonts w:ascii="Times New Roman" w:eastAsia="Calibri" w:hAnsi="Times New Roman" w:cs="Times New Roman"/>
          <w:sz w:val="28"/>
          <w:szCs w:val="24"/>
        </w:rPr>
        <w:footnoteReference w:id="46"/>
      </w:r>
      <w:r w:rsidRPr="006E3DC0">
        <w:rPr>
          <w:rFonts w:ascii="Times New Roman" w:eastAsia="Calibri" w:hAnsi="Times New Roman" w:cs="Times New Roman"/>
          <w:sz w:val="28"/>
          <w:szCs w:val="24"/>
        </w:rPr>
        <w:t xml:space="preserve">. </w:t>
      </w:r>
    </w:p>
    <w:p w14:paraId="583A757E"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Показатели межрегиональной дифференциации денежных доходов населения за период 1995-2019 гг. учетом межрегиональной дифференциации цен рассчитаны по 79 регионам (Ненецкий автономный округ представлен в составе Архангельской области, Ямало-Ненецкий автономный округ и ХМАО-Югра в составе Тюменской области, Чеченская Республика из расчета исключена), расчеты для 2015-2019 годов проведены по всем 85 субъектам РФ (рис. Х.1). </w:t>
      </w:r>
    </w:p>
    <w:p w14:paraId="55BA3E69"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4"/>
        </w:rPr>
      </w:pPr>
      <w:r w:rsidRPr="006E3DC0">
        <w:rPr>
          <w:rFonts w:ascii="Times New Roman" w:eastAsia="Calibri" w:hAnsi="Times New Roman" w:cs="Times New Roman"/>
          <w:sz w:val="28"/>
          <w:szCs w:val="24"/>
        </w:rPr>
        <w:t xml:space="preserve">За период после 1995 года произошло снижение дифференциации среднедушевых доходов населения как с позиции соотношения между максимальным и минимальным уровнями дохода, так и с позиции вариативности среднедушевых доходов. Изменение состава регионов (включение в расчет с 2015 года автономных округов, Республики Крым, Севастополя и Чеченской Республики) увеличило разрыв между максимальным и минимальным уровнями дохода, показатели дифференциации для всех 85 регионов оказались примерно на уровне </w:t>
      </w:r>
      <w:proofErr w:type="gramStart"/>
      <w:r w:rsidRPr="006E3DC0">
        <w:rPr>
          <w:rFonts w:ascii="Times New Roman" w:eastAsia="Calibri" w:hAnsi="Times New Roman" w:cs="Times New Roman"/>
          <w:sz w:val="28"/>
          <w:szCs w:val="24"/>
        </w:rPr>
        <w:t>2008-2010</w:t>
      </w:r>
      <w:proofErr w:type="gramEnd"/>
      <w:r w:rsidRPr="006E3DC0">
        <w:rPr>
          <w:rFonts w:ascii="Times New Roman" w:eastAsia="Calibri" w:hAnsi="Times New Roman" w:cs="Times New Roman"/>
          <w:sz w:val="28"/>
          <w:szCs w:val="24"/>
        </w:rPr>
        <w:t xml:space="preserve"> годов для 79 регионов. В отличие от распределения регионов по среднедушевому производству ВРП, где выделение автономных округов значительно увеличивает разрыв максимальных и минимальных показателей, для доходов населения этот фактор не играет существенной роли.</w:t>
      </w:r>
    </w:p>
    <w:p w14:paraId="64F9219A"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 </w:t>
      </w:r>
    </w:p>
    <w:p w14:paraId="448AFA85"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Pr>
          <w:noProof/>
          <w:lang w:eastAsia="ru-RU"/>
        </w:rPr>
        <w:drawing>
          <wp:inline distT="0" distB="0" distL="0" distR="0" wp14:anchorId="210CC129" wp14:editId="015AFA9F">
            <wp:extent cx="4572000" cy="3457576"/>
            <wp:effectExtent l="0" t="0" r="0" b="9525"/>
            <wp:docPr id="10" name="Диаграмма 10">
              <a:extLst xmlns:a="http://schemas.openxmlformats.org/drawingml/2006/main">
                <a:ext uri="{FF2B5EF4-FFF2-40B4-BE49-F238E27FC236}">
                  <a16:creationId xmlns:a16="http://schemas.microsoft.com/office/drawing/2014/main" id="{2CD1682B-6C68-44B0-AF68-C87CCFB4A3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2B99789" w14:textId="77777777" w:rsidR="00A63E81" w:rsidRPr="00A63E81" w:rsidRDefault="00A63E81" w:rsidP="00A63E81">
      <w:pPr>
        <w:spacing w:after="0" w:line="240" w:lineRule="auto"/>
        <w:ind w:left="360"/>
        <w:rPr>
          <w:rFonts w:ascii="Times New Roman" w:eastAsia="Calibri" w:hAnsi="Times New Roman" w:cs="Times New Roman"/>
          <w:sz w:val="20"/>
          <w:szCs w:val="20"/>
        </w:rPr>
      </w:pPr>
      <w:r w:rsidRPr="00A63E81">
        <w:rPr>
          <w:rFonts w:ascii="Times New Roman" w:eastAsia="Calibri" w:hAnsi="Times New Roman" w:cs="Times New Roman"/>
          <w:sz w:val="20"/>
          <w:szCs w:val="20"/>
        </w:rPr>
        <w:t xml:space="preserve">Рисунок Х.1 – Показатели межрегиональной дифференциации среднедушевых доходов населения: </w:t>
      </w:r>
      <w:proofErr w:type="spellStart"/>
      <w:r w:rsidRPr="00A63E81">
        <w:rPr>
          <w:rFonts w:ascii="Times New Roman" w:eastAsia="Calibri" w:hAnsi="Times New Roman" w:cs="Times New Roman"/>
          <w:sz w:val="20"/>
          <w:szCs w:val="20"/>
        </w:rPr>
        <w:t>max</w:t>
      </w:r>
      <w:proofErr w:type="spellEnd"/>
      <w:r w:rsidRPr="00A63E81">
        <w:rPr>
          <w:rFonts w:ascii="Times New Roman" w:eastAsia="Calibri" w:hAnsi="Times New Roman" w:cs="Times New Roman"/>
          <w:sz w:val="20"/>
          <w:szCs w:val="20"/>
        </w:rPr>
        <w:t>/</w:t>
      </w:r>
      <w:proofErr w:type="spellStart"/>
      <w:r w:rsidRPr="00A63E81">
        <w:rPr>
          <w:rFonts w:ascii="Times New Roman" w:eastAsia="Calibri" w:hAnsi="Times New Roman" w:cs="Times New Roman"/>
          <w:sz w:val="20"/>
          <w:szCs w:val="20"/>
        </w:rPr>
        <w:t>min</w:t>
      </w:r>
      <w:proofErr w:type="spellEnd"/>
      <w:r w:rsidRPr="00A63E81">
        <w:rPr>
          <w:rFonts w:ascii="Times New Roman" w:eastAsia="Calibri" w:hAnsi="Times New Roman" w:cs="Times New Roman"/>
          <w:sz w:val="20"/>
          <w:szCs w:val="20"/>
        </w:rPr>
        <w:t xml:space="preserve"> – отношение максимального показателя к минимальному (разы, соответственно для 79 и 85 регионов, правая ось), var79 – коэффициент вариации для 79 регионов, var78 - коэффициент вариации при исключении из расчета по 79 регионам Москвы;  </w:t>
      </w:r>
      <w:r w:rsidRPr="00A63E81">
        <w:rPr>
          <w:rFonts w:ascii="Times New Roman" w:eastAsia="Calibri" w:hAnsi="Times New Roman" w:cs="Times New Roman"/>
          <w:sz w:val="20"/>
          <w:szCs w:val="20"/>
          <w:lang w:val="en-US"/>
        </w:rPr>
        <w:t>var</w:t>
      </w:r>
      <w:r w:rsidRPr="00A63E81">
        <w:rPr>
          <w:rFonts w:ascii="Times New Roman" w:eastAsia="Calibri" w:hAnsi="Times New Roman" w:cs="Times New Roman"/>
          <w:sz w:val="20"/>
          <w:szCs w:val="20"/>
        </w:rPr>
        <w:t xml:space="preserve">85 – коэффициент вариации  для 85 регионов, </w:t>
      </w:r>
      <w:r w:rsidRPr="00A63E81">
        <w:rPr>
          <w:rFonts w:ascii="Times New Roman" w:eastAsia="Calibri" w:hAnsi="Times New Roman" w:cs="Times New Roman"/>
          <w:sz w:val="20"/>
          <w:szCs w:val="20"/>
          <w:lang w:val="en-US"/>
        </w:rPr>
        <w:t>var</w:t>
      </w:r>
      <w:r w:rsidRPr="00A63E81">
        <w:rPr>
          <w:rFonts w:ascii="Times New Roman" w:eastAsia="Calibri" w:hAnsi="Times New Roman" w:cs="Times New Roman"/>
          <w:sz w:val="20"/>
          <w:szCs w:val="20"/>
        </w:rPr>
        <w:t xml:space="preserve"> 84 - коэффициент вариации при исключении из расчета по 85 регионам Москвы, РД РФ – рост реальных доходов населения РФ (в разах). </w:t>
      </w:r>
    </w:p>
    <w:p w14:paraId="44F726BB" w14:textId="77777777" w:rsidR="00A63E81" w:rsidRPr="00A63E81" w:rsidRDefault="00A63E81" w:rsidP="00A63E81">
      <w:pPr>
        <w:spacing w:after="0" w:line="240" w:lineRule="auto"/>
        <w:ind w:left="360"/>
        <w:rPr>
          <w:rFonts w:ascii="Times New Roman" w:eastAsia="Calibri" w:hAnsi="Times New Roman" w:cs="Times New Roman"/>
          <w:sz w:val="24"/>
          <w:szCs w:val="24"/>
        </w:rPr>
      </w:pPr>
    </w:p>
    <w:p w14:paraId="5895A41B"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Разрыв максимальных и минимальных среднедушевых доходов сократился с 11,1 раза в 1995 году до 2,7 раз в 2018 году. Коэффициент вариации снизился с 0,324 в 1995 году до 0,274 в 2019 году. Рост вариации среднедушевых доходов отмечался до 2001 года, когда разрыв в доходах населения между регионами составлял 7,5 раз. После 2003 года вплоть до 2015 года разрыв в доходах сокращался, хотя в отдельные годы (2004, 2007, 2013) происходил небольшой рост коэффициента вариации. После 2015 года на фоне падения реальных доходов населения дифференциация усилилась. </w:t>
      </w:r>
    </w:p>
    <w:p w14:paraId="7FC58748"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Важнейшим фактором, определявшим региональные различия среднедушевых доходов, являлся «московский фактор». В 1995 году денежные доходы (с учетом их корректировки на разницу в ценах) в Москве превышали средний по стране уровень в 3,3 раза, максимальный разрыв был отмечен в 1999 году – 3,6 раза, далее разрыв постепенно снижался, в 2019 году он составил 2,1 раза в номинальном выражении и 1,5 раза с учетом разницы в ценах. Влияние «московского фактора» исчерпало себя после 2007 года, когда исключение Москвы при расчете вариации среднедушевых доходов перестало влиять на величину показателей дифференциации.</w:t>
      </w:r>
    </w:p>
    <w:p w14:paraId="57E3CF70"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Тенденция к сокращению различий среднедушевых доходов наблюдалась с 2001 года на фоне быстрого роста реальных доходов населения. После кризиса 2009 года, несмотря на продолжающий рост доходов населения, показатели дифференциации оставались почти неизменными. После 2013 года на фоне кардинального изменения условий развития российской экономики в целом и падения реальных доходов населения дифференциация среднедушевых доходов незначительно, тем не менее, усиливается. Формально причиной усиления дифференциации является включение в расчет после 2015 года всех 85 субъектов федерации, отличающихся как высоким уровнем доходов (автономные округа), так и низким уровнем (Чеченская Республика, Крым и Севастополь), однако увеличение показателей дифференциации произошло и для сопоставимого набора регионов. </w:t>
      </w:r>
    </w:p>
    <w:p w14:paraId="5999E64F"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Показатели межрегиональной дифференциации денежных доходов населения тесно связаны с их динамикой. Дифференциация доходов, как правило, усиливается при снижении либо стагнации доходов и сокращается при их росте, </w:t>
      </w:r>
      <w:proofErr w:type="gramStart"/>
      <w:r w:rsidRPr="006E3DC0">
        <w:rPr>
          <w:rFonts w:ascii="Times New Roman" w:eastAsia="Calibri" w:hAnsi="Times New Roman" w:cs="Times New Roman"/>
          <w:sz w:val="28"/>
          <w:szCs w:val="28"/>
        </w:rPr>
        <w:t>т.е.</w:t>
      </w:r>
      <w:proofErr w:type="gramEnd"/>
      <w:r w:rsidRPr="006E3DC0">
        <w:rPr>
          <w:rFonts w:ascii="Times New Roman" w:eastAsia="Calibri" w:hAnsi="Times New Roman" w:cs="Times New Roman"/>
          <w:sz w:val="28"/>
          <w:szCs w:val="28"/>
        </w:rPr>
        <w:t xml:space="preserve"> экономический рост является условием снижения дифференциации доходов населения, при этом доходы растут в большинстве регионов. Тенденции межрегиональных соотношений доходов населения в этом отношении отличаются от трендов, характерных для динамики среднедушевых показателей ВРП. Межрегиональная дифференциация ВРП, как правило, усиливается в условиях благоприятной экономической конъюнктуры и снижается при замедлении темпов общеэкономического роста, </w:t>
      </w:r>
      <w:proofErr w:type="gramStart"/>
      <w:r w:rsidRPr="006E3DC0">
        <w:rPr>
          <w:rFonts w:ascii="Times New Roman" w:eastAsia="Calibri" w:hAnsi="Times New Roman" w:cs="Times New Roman"/>
          <w:sz w:val="28"/>
          <w:szCs w:val="28"/>
        </w:rPr>
        <w:t>т.е.</w:t>
      </w:r>
      <w:proofErr w:type="gramEnd"/>
      <w:r w:rsidRPr="006E3DC0">
        <w:rPr>
          <w:rFonts w:ascii="Times New Roman" w:eastAsia="Calibri" w:hAnsi="Times New Roman" w:cs="Times New Roman"/>
          <w:sz w:val="28"/>
          <w:szCs w:val="28"/>
        </w:rPr>
        <w:t xml:space="preserve"> сокращение межрегиональных различий происходит за счет ухудшения положения богатых регионов, а не подтягивания бедных к уровню богатых. </w:t>
      </w:r>
    </w:p>
    <w:p w14:paraId="002550C0"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Распределение регионов по величине среднедушевых доходов отличается высокой степенью асимметричности, которая возникает в результате отрыва небольшого числа регионов с высокими показателями доходов от основной массы регионов. В 2015 году среднедушевые доходы в номинальном выражении превышали средний по стране показатель в 19 субъектах РФ из 85, при учете межрегиональной дифференциации цен регионов с доходами выше среднероссийских оказалось 18. В 2019 году среднедушевые номинальные доходы были выше среднероссийских в 18 регионах, а при учете ФНТУ только в 15. Распределение регионов по </w:t>
      </w:r>
      <w:proofErr w:type="spellStart"/>
      <w:r w:rsidRPr="006E3DC0">
        <w:rPr>
          <w:rFonts w:ascii="Times New Roman" w:eastAsia="Calibri" w:hAnsi="Times New Roman" w:cs="Times New Roman"/>
          <w:sz w:val="28"/>
          <w:szCs w:val="28"/>
        </w:rPr>
        <w:t>децильным</w:t>
      </w:r>
      <w:proofErr w:type="spellEnd"/>
      <w:r w:rsidRPr="006E3DC0">
        <w:rPr>
          <w:rFonts w:ascii="Times New Roman" w:eastAsia="Calibri" w:hAnsi="Times New Roman" w:cs="Times New Roman"/>
          <w:sz w:val="28"/>
          <w:szCs w:val="28"/>
        </w:rPr>
        <w:t xml:space="preserve"> группам в зависимости от отношения дохода в регионе к среднему по РФ показывает, что основная часть регионов концентрируется в трех первых децилях</w:t>
      </w:r>
      <w:r w:rsidRPr="006E3DC0">
        <w:rPr>
          <w:sz w:val="28"/>
          <w:szCs w:val="28"/>
        </w:rPr>
        <w:t xml:space="preserve"> </w:t>
      </w:r>
      <w:r w:rsidRPr="006E3DC0">
        <w:rPr>
          <w:rFonts w:ascii="Times New Roman" w:eastAsia="Calibri" w:hAnsi="Times New Roman" w:cs="Times New Roman"/>
          <w:sz w:val="28"/>
          <w:szCs w:val="28"/>
        </w:rPr>
        <w:t>с наиболее низкими доходами (рис. Х.2), в 2019 году после корректировки денежных доходов на ФНТУ в 3 первых децилях оказались 66 субъектов РФ, при рассмотрении  номинальных доходов таких регионов 70.</w:t>
      </w:r>
    </w:p>
    <w:p w14:paraId="32978661"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 первую группу с минимальным уровнем доходов вошли 12 субъектов РФ, преимущественно это национально-административные образования Сибири, Северного Кавказа, Юга, Приволжья, Дальнего Востока. Средний уровень доходов в целом по группе составляет 2/3 от среднероссийского, средняя заработная плата – ¾ от средней по стране, размер пенсий и социальных выплат отличается в меньшей степени, тем не менее они ниже, чем в других группах (таблица Х.2). Особенность данной группы – низкая доля в совокупном доходе оплаты труда, которая составляет 49,7% и высокая доля социальных выплат – 26,8%, при том, что в отдельных регионах среднедушевые социальные выплаты выше средних по стране. Для данной группы характерна самая высокая по сравнению с другими группами доля доходов от предпринимательской деятельности в суммарных доходах – 8,2%. В регионах первой группы проживает 5,2% населения и 4,4% занятых в экономике, однако за счет значительного отрыва от средних по стране доходов вклад первой группы в суммарный показатель вариации составляет около 30%. </w:t>
      </w:r>
    </w:p>
    <w:p w14:paraId="7A0B0CA8"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Вторая группа с низкими среднедушевыми доходами объединяет 24 региона, в которых среднедушевые доходы находятся в интервале </w:t>
      </w:r>
      <w:proofErr w:type="gramStart"/>
      <w:r w:rsidRPr="006E3DC0">
        <w:rPr>
          <w:rFonts w:ascii="Times New Roman" w:eastAsia="Calibri" w:hAnsi="Times New Roman" w:cs="Times New Roman"/>
          <w:sz w:val="28"/>
          <w:szCs w:val="28"/>
        </w:rPr>
        <w:t>68-82</w:t>
      </w:r>
      <w:proofErr w:type="gramEnd"/>
      <w:r w:rsidRPr="006E3DC0">
        <w:rPr>
          <w:rFonts w:ascii="Times New Roman" w:eastAsia="Calibri" w:hAnsi="Times New Roman" w:cs="Times New Roman"/>
          <w:sz w:val="28"/>
          <w:szCs w:val="28"/>
        </w:rPr>
        <w:t xml:space="preserve">% от среднероссийских. Для большинства регионов данной группы характерен средний либо ниже среднего душевой показатель ВРП, вместе с тем в данную доходную группу вошло несколько регионов с высокой долей в структуре производства добычи полезных ископаемых (Кемеровская, Иркутская, Оренбургская области, Забайкальский край), в которых относительно высокая заработная плата в добыче полезных ископаемых не обеспечивает высокого уровня доходов населения региона в целом. Положительным фактором формирования доходов в регионах данной группы являются пенсии, средний размер которых выше среднего по стране, при том, что в регионах данной группы проживает четверть всех российских пенсионеров. Попадание региона во вторую </w:t>
      </w:r>
      <w:proofErr w:type="spellStart"/>
      <w:r w:rsidRPr="006E3DC0">
        <w:rPr>
          <w:rFonts w:ascii="Times New Roman" w:eastAsia="Calibri" w:hAnsi="Times New Roman" w:cs="Times New Roman"/>
          <w:sz w:val="28"/>
          <w:szCs w:val="28"/>
        </w:rPr>
        <w:t>децильную</w:t>
      </w:r>
      <w:proofErr w:type="spellEnd"/>
      <w:r w:rsidRPr="006E3DC0">
        <w:rPr>
          <w:rFonts w:ascii="Times New Roman" w:eastAsia="Calibri" w:hAnsi="Times New Roman" w:cs="Times New Roman"/>
          <w:sz w:val="28"/>
          <w:szCs w:val="28"/>
        </w:rPr>
        <w:t xml:space="preserve"> группу обусловлено в значительной мере низкими заработными платами. Средняя заработная плата в регионах данной группы составляет 83% от среднероссийской, здесь занято 21,7% от общей численности занятых, однако доля регионов этой группы в суммарной начисленной заработной плате составляет лишь 18%.</w:t>
      </w:r>
    </w:p>
    <w:p w14:paraId="14F173F5"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p>
    <w:p w14:paraId="0DFA3947"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Pr>
          <w:noProof/>
          <w:lang w:eastAsia="ru-RU"/>
        </w:rPr>
        <mc:AlternateContent>
          <mc:Choice Requires="wps">
            <w:drawing>
              <wp:anchor distT="0" distB="0" distL="114300" distR="114300" simplePos="0" relativeHeight="251669504" behindDoc="0" locked="0" layoutInCell="1" allowOverlap="1" wp14:anchorId="1A4D4622" wp14:editId="21884BD0">
                <wp:simplePos x="0" y="0"/>
                <wp:positionH relativeFrom="column">
                  <wp:posOffset>3574415</wp:posOffset>
                </wp:positionH>
                <wp:positionV relativeFrom="paragraph">
                  <wp:posOffset>3439160</wp:posOffset>
                </wp:positionV>
                <wp:extent cx="1231900" cy="273050"/>
                <wp:effectExtent l="0" t="0" r="25400" b="12700"/>
                <wp:wrapNone/>
                <wp:docPr id="7" name="Прямоугольник 7"/>
                <wp:cNvGraphicFramePr/>
                <a:graphic xmlns:a="http://schemas.openxmlformats.org/drawingml/2006/main">
                  <a:graphicData uri="http://schemas.microsoft.com/office/word/2010/wordprocessingShape">
                    <wps:wsp>
                      <wps:cNvSpPr/>
                      <wps:spPr>
                        <a:xfrm>
                          <a:off x="0" y="0"/>
                          <a:ext cx="1231900" cy="2730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516C42" w14:textId="77777777" w:rsidR="00FC0A22" w:rsidRDefault="00FC0A22" w:rsidP="00A63E81">
                            <w:pPr>
                              <w:jc w:val="center"/>
                            </w:pPr>
                            <w:r>
                              <w:t>Третья группа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4D4622" id="Прямоугольник 7" o:spid="_x0000_s1026" style="position:absolute;left:0;text-align:left;margin-left:281.45pt;margin-top:270.8pt;width:97pt;height:2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" fillcolor="white [3201]" strokecolor="black [3213]" strokeweight="1pt">
                <v:textbox>
                  <w:txbxContent>
                    <w:p w14:paraId="6D516C42" w14:textId="77777777" w:rsidR="00FC0A22" w:rsidRDefault="00FC0A22" w:rsidP="00A63E81">
                      <w:pPr>
                        <w:jc w:val="center"/>
                      </w:pPr>
                      <w:r>
                        <w:t>Третья группа</w:t>
                      </w:r>
                    </w:p>
                  </w:txbxContent>
                </v:textbox>
              </v:rect>
            </w:pict>
          </mc:Fallback>
        </mc:AlternateContent>
      </w:r>
      <w:r>
        <w:rPr>
          <w:noProof/>
          <w:lang w:eastAsia="ru-RU"/>
        </w:rPr>
        <mc:AlternateContent>
          <mc:Choice Requires="wps">
            <w:drawing>
              <wp:anchor distT="0" distB="0" distL="114300" distR="114300" simplePos="0" relativeHeight="251668480" behindDoc="0" locked="0" layoutInCell="1" allowOverlap="1" wp14:anchorId="04D13828" wp14:editId="6963FA3B">
                <wp:simplePos x="0" y="0"/>
                <wp:positionH relativeFrom="column">
                  <wp:posOffset>3612515</wp:posOffset>
                </wp:positionH>
                <wp:positionV relativeFrom="paragraph">
                  <wp:posOffset>740410</wp:posOffset>
                </wp:positionV>
                <wp:extent cx="1079500" cy="304800"/>
                <wp:effectExtent l="0" t="0" r="25400" b="19050"/>
                <wp:wrapNone/>
                <wp:docPr id="6" name="Надпись 6"/>
                <wp:cNvGraphicFramePr/>
                <a:graphic xmlns:a="http://schemas.openxmlformats.org/drawingml/2006/main">
                  <a:graphicData uri="http://schemas.microsoft.com/office/word/2010/wordprocessingShape">
                    <wps:wsp>
                      <wps:cNvSpPr txBox="1"/>
                      <wps:spPr>
                        <a:xfrm flipH="1">
                          <a:off x="0" y="0"/>
                          <a:ext cx="1079500" cy="304800"/>
                        </a:xfrm>
                        <a:prstGeom prst="rect">
                          <a:avLst/>
                        </a:prstGeom>
                        <a:solidFill>
                          <a:schemeClr val="lt1"/>
                        </a:solidFill>
                        <a:ln w="6350">
                          <a:solidFill>
                            <a:prstClr val="black"/>
                          </a:solidFill>
                        </a:ln>
                      </wps:spPr>
                      <wps:txbx>
                        <w:txbxContent>
                          <w:p w14:paraId="67B30B46" w14:textId="77777777" w:rsidR="00FC0A22" w:rsidRDefault="00FC0A22" w:rsidP="00A63E81">
                            <w:r>
                              <w:t>Первая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4D13828" id="_x0000_t202" coordsize="21600,21600" o:spt="202" path="m,l,21600r21600,l21600,xe">
                <v:stroke joinstyle="miter"/>
                <v:path gradientshapeok="t" o:connecttype="rect"/>
              </v:shapetype>
              <v:shape id="Надпись 6" o:spid="_x0000_s1027" type="#_x0000_t202" style="position:absolute;left:0;text-align:left;margin-left:284.45pt;margin-top:58.3pt;width:85pt;height:24pt;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" fillcolor="white [3201]" strokeweight=".5pt">
                <v:textbox>
                  <w:txbxContent>
                    <w:p w14:paraId="67B30B46" w14:textId="77777777" w:rsidR="00FC0A22" w:rsidRDefault="00FC0A22" w:rsidP="00A63E81">
                      <w:r>
                        <w:t>Первая группа</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3B83AB9F" wp14:editId="455BD06C">
                <wp:simplePos x="0" y="0"/>
                <wp:positionH relativeFrom="column">
                  <wp:posOffset>3574415</wp:posOffset>
                </wp:positionH>
                <wp:positionV relativeFrom="paragraph">
                  <wp:posOffset>1991360</wp:posOffset>
                </wp:positionV>
                <wp:extent cx="1250950" cy="292100"/>
                <wp:effectExtent l="0" t="0" r="25400" b="12700"/>
                <wp:wrapNone/>
                <wp:docPr id="5" name="Надпись 5"/>
                <wp:cNvGraphicFramePr/>
                <a:graphic xmlns:a="http://schemas.openxmlformats.org/drawingml/2006/main">
                  <a:graphicData uri="http://schemas.microsoft.com/office/word/2010/wordprocessingShape">
                    <wps:wsp>
                      <wps:cNvSpPr txBox="1"/>
                      <wps:spPr>
                        <a:xfrm>
                          <a:off x="0" y="0"/>
                          <a:ext cx="1250950" cy="292100"/>
                        </a:xfrm>
                        <a:prstGeom prst="rect">
                          <a:avLst/>
                        </a:prstGeom>
                        <a:solidFill>
                          <a:schemeClr val="lt1"/>
                        </a:solidFill>
                        <a:ln w="6350">
                          <a:solidFill>
                            <a:prstClr val="black"/>
                          </a:solidFill>
                        </a:ln>
                      </wps:spPr>
                      <wps:txbx>
                        <w:txbxContent>
                          <w:p w14:paraId="5AC45A77" w14:textId="77777777" w:rsidR="00FC0A22" w:rsidRDefault="00FC0A22" w:rsidP="00A63E81">
                            <w:r>
                              <w:t>Вторая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83AB9F" id="Надпись 5" o:spid="_x0000_s1028" type="#_x0000_t202" style="position:absolute;left:0;text-align:left;margin-left:281.45pt;margin-top:156.8pt;width:98.5pt;height:2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" fillcolor="white [3201]" strokeweight=".5pt">
                <v:textbox>
                  <w:txbxContent>
                    <w:p w14:paraId="5AC45A77" w14:textId="77777777" w:rsidR="00FC0A22" w:rsidRDefault="00FC0A22" w:rsidP="00A63E81">
                      <w:r>
                        <w:t>Вторая группа</w:t>
                      </w:r>
                    </w:p>
                  </w:txbxContent>
                </v:textbox>
              </v:shape>
            </w:pict>
          </mc:Fallback>
        </mc:AlternateContent>
      </w:r>
      <w:r>
        <w:rPr>
          <w:noProof/>
          <w:lang w:eastAsia="ru-RU"/>
        </w:rPr>
        <w:drawing>
          <wp:inline distT="0" distB="0" distL="0" distR="0" wp14:anchorId="6E579B05" wp14:editId="31E2FC37">
            <wp:extent cx="4572000" cy="6635750"/>
            <wp:effectExtent l="0" t="0" r="0" b="12700"/>
            <wp:docPr id="11" name="Диаграмма 11">
              <a:extLst xmlns:a="http://schemas.openxmlformats.org/drawingml/2006/main">
                <a:ext uri="{FF2B5EF4-FFF2-40B4-BE49-F238E27FC236}">
                  <a16:creationId xmlns:a16="http://schemas.microsoft.com/office/drawing/2014/main" id="{9B7584AB-B506-45DD-8CBA-076AEE6A8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373FFE8"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p>
    <w:p w14:paraId="242D3A14" w14:textId="77777777" w:rsidR="00A63E81" w:rsidRPr="00A63E81" w:rsidRDefault="00A63E81" w:rsidP="00A63E81">
      <w:pPr>
        <w:spacing w:after="0" w:line="240" w:lineRule="auto"/>
        <w:ind w:left="360"/>
        <w:jc w:val="center"/>
        <w:rPr>
          <w:rFonts w:ascii="Times New Roman" w:eastAsia="Calibri" w:hAnsi="Times New Roman" w:cs="Times New Roman"/>
          <w:sz w:val="24"/>
          <w:szCs w:val="24"/>
        </w:rPr>
      </w:pPr>
      <w:r w:rsidRPr="00A63E81">
        <w:rPr>
          <w:rFonts w:ascii="Times New Roman" w:eastAsia="Calibri" w:hAnsi="Times New Roman" w:cs="Times New Roman"/>
          <w:sz w:val="24"/>
          <w:szCs w:val="24"/>
        </w:rPr>
        <w:t>Рис. Х.2 Отношение среднедушевых денежных доходов (ДД), социальных пособий (пособия), потребительских расходов и среднего размера пенсий с учетом ФНТУ к среднему по РФ (РФ=1)</w:t>
      </w:r>
    </w:p>
    <w:p w14:paraId="7619E016"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  </w:t>
      </w:r>
    </w:p>
    <w:p w14:paraId="59B6AF7D" w14:textId="77777777" w:rsidR="00A63E81" w:rsidRPr="00A63E81" w:rsidRDefault="00A63E81" w:rsidP="006E3DC0">
      <w:pPr>
        <w:spacing w:after="0" w:line="360" w:lineRule="auto"/>
        <w:ind w:firstLine="567"/>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В третьей </w:t>
      </w:r>
      <w:proofErr w:type="spellStart"/>
      <w:r w:rsidRPr="00A63E81">
        <w:rPr>
          <w:rFonts w:ascii="Times New Roman" w:eastAsia="Calibri" w:hAnsi="Times New Roman" w:cs="Times New Roman"/>
          <w:sz w:val="24"/>
          <w:szCs w:val="24"/>
        </w:rPr>
        <w:t>децильной</w:t>
      </w:r>
      <w:proofErr w:type="spellEnd"/>
      <w:r w:rsidRPr="00A63E81">
        <w:rPr>
          <w:rFonts w:ascii="Times New Roman" w:eastAsia="Calibri" w:hAnsi="Times New Roman" w:cs="Times New Roman"/>
          <w:sz w:val="24"/>
          <w:szCs w:val="24"/>
        </w:rPr>
        <w:t xml:space="preserve"> группе доходы населения также ниже среднероссийских, в данной группе находится более трети всех российских регионов. Как и в предыдущем случае, средний размер пенсии превышает среднероссийский уровень, в регионах данной группы проживает 35,2% всех пенсионеров, это выше, чем доля регионов в численности населения. Доля оплаты труда в суммарных доходах такая же, как и в предыдущей группе – 51,6%, при этом средняя заработная плата ниже среднероссийской, в регионах данной группы занято 32,2% от общей численности занятых, тогда как доля в суммарной начисленной заработной плате составляет лишь 29%. На долю регионов данной группы приходится 33,8% совокупных доходов от предпринимательской деятельности. </w:t>
      </w:r>
    </w:p>
    <w:p w14:paraId="50774638" w14:textId="77777777" w:rsidR="00A63E81" w:rsidRPr="00A63E81" w:rsidRDefault="00A63E81" w:rsidP="00A63E81">
      <w:pPr>
        <w:spacing w:after="0" w:line="240" w:lineRule="auto"/>
        <w:ind w:left="360"/>
        <w:jc w:val="right"/>
        <w:rPr>
          <w:rFonts w:ascii="Times New Roman" w:hAnsi="Times New Roman" w:cs="Times New Roman"/>
          <w:sz w:val="24"/>
          <w:szCs w:val="24"/>
        </w:rPr>
      </w:pPr>
      <w:r w:rsidRPr="00A63E81">
        <w:rPr>
          <w:rFonts w:ascii="Times New Roman" w:hAnsi="Times New Roman" w:cs="Times New Roman"/>
          <w:sz w:val="24"/>
          <w:szCs w:val="24"/>
        </w:rPr>
        <w:t>Таблица Х.1</w:t>
      </w:r>
    </w:p>
    <w:p w14:paraId="0ACDBD32" w14:textId="77777777" w:rsidR="00A63E81" w:rsidRPr="00A63E81" w:rsidRDefault="00A63E81" w:rsidP="00A63E81">
      <w:pPr>
        <w:spacing w:after="0" w:line="240" w:lineRule="auto"/>
        <w:ind w:left="360"/>
        <w:jc w:val="center"/>
        <w:rPr>
          <w:rFonts w:ascii="Times New Roman" w:hAnsi="Times New Roman" w:cs="Times New Roman"/>
          <w:sz w:val="24"/>
          <w:szCs w:val="24"/>
        </w:rPr>
      </w:pPr>
      <w:r w:rsidRPr="00A63E81">
        <w:rPr>
          <w:rFonts w:ascii="Times New Roman" w:hAnsi="Times New Roman" w:cs="Times New Roman"/>
          <w:sz w:val="24"/>
          <w:szCs w:val="24"/>
        </w:rPr>
        <w:t xml:space="preserve">Распределение региональных показателей по </w:t>
      </w:r>
      <w:proofErr w:type="spellStart"/>
      <w:r w:rsidRPr="00A63E81">
        <w:rPr>
          <w:rFonts w:ascii="Times New Roman" w:hAnsi="Times New Roman" w:cs="Times New Roman"/>
          <w:sz w:val="24"/>
          <w:szCs w:val="24"/>
        </w:rPr>
        <w:t>децильным</w:t>
      </w:r>
      <w:proofErr w:type="spellEnd"/>
      <w:r w:rsidRPr="00A63E81">
        <w:rPr>
          <w:rFonts w:ascii="Times New Roman" w:hAnsi="Times New Roman" w:cs="Times New Roman"/>
          <w:sz w:val="24"/>
          <w:szCs w:val="24"/>
        </w:rPr>
        <w:t xml:space="preserve"> группам в зависимости от отношения среднедушевых денежных доходов с учетом ФНТУ к средним по РФ в 2019 году, %</w:t>
      </w:r>
    </w:p>
    <w:p w14:paraId="11DFDB64" w14:textId="77777777" w:rsidR="00A63E81" w:rsidRPr="00A63E81" w:rsidRDefault="00A63E81" w:rsidP="00A63E81">
      <w:pPr>
        <w:spacing w:after="0" w:line="240" w:lineRule="auto"/>
        <w:ind w:left="360"/>
        <w:jc w:val="center"/>
        <w:rPr>
          <w:rFonts w:ascii="Times New Roman" w:hAnsi="Times New Roman" w:cs="Times New Roman"/>
          <w:sz w:val="24"/>
          <w:szCs w:val="24"/>
        </w:rPr>
      </w:pPr>
    </w:p>
    <w:tbl>
      <w:tblPr>
        <w:tblStyle w:val="ae"/>
        <w:tblW w:w="9521" w:type="dxa"/>
        <w:tblInd w:w="5" w:type="dxa"/>
        <w:tblLook w:val="04A0" w:firstRow="1" w:lastRow="0" w:firstColumn="1" w:lastColumn="0" w:noHBand="0" w:noVBand="1"/>
      </w:tblPr>
      <w:tblGrid>
        <w:gridCol w:w="2118"/>
        <w:gridCol w:w="1254"/>
        <w:gridCol w:w="1254"/>
        <w:gridCol w:w="1255"/>
        <w:gridCol w:w="1255"/>
        <w:gridCol w:w="1508"/>
        <w:gridCol w:w="877"/>
      </w:tblGrid>
      <w:tr w:rsidR="00A63E81" w:rsidRPr="00221F51" w14:paraId="5EF29F8B" w14:textId="77777777" w:rsidTr="00A63E81">
        <w:tc>
          <w:tcPr>
            <w:tcW w:w="2118" w:type="dxa"/>
            <w:shd w:val="clear" w:color="auto" w:fill="auto"/>
          </w:tcPr>
          <w:p w14:paraId="53F055F5" w14:textId="77777777" w:rsidR="00A63E81" w:rsidRPr="00A63E81" w:rsidRDefault="00A63E81" w:rsidP="006E3DC0">
            <w:pPr>
              <w:ind w:left="-5"/>
              <w:jc w:val="both"/>
              <w:rPr>
                <w:rFonts w:ascii="Times New Roman" w:eastAsia="Calibri" w:hAnsi="Times New Roman" w:cs="Times New Roman"/>
                <w:sz w:val="20"/>
                <w:szCs w:val="20"/>
              </w:rPr>
            </w:pPr>
            <w:r w:rsidRPr="00A63E81">
              <w:rPr>
                <w:rFonts w:ascii="Times New Roman" w:eastAsia="Calibri" w:hAnsi="Times New Roman" w:cs="Times New Roman"/>
                <w:sz w:val="20"/>
                <w:szCs w:val="20"/>
              </w:rPr>
              <w:t>группы</w:t>
            </w:r>
          </w:p>
        </w:tc>
        <w:tc>
          <w:tcPr>
            <w:tcW w:w="1254" w:type="dxa"/>
            <w:shd w:val="clear" w:color="auto" w:fill="auto"/>
          </w:tcPr>
          <w:p w14:paraId="461E6E8C" w14:textId="77777777" w:rsidR="00A63E81" w:rsidRPr="00A63E81" w:rsidRDefault="00A63E81" w:rsidP="006E3DC0">
            <w:pPr>
              <w:ind w:left="-5"/>
              <w:rPr>
                <w:rFonts w:ascii="Times New Roman" w:eastAsia="Calibri" w:hAnsi="Times New Roman" w:cs="Times New Roman"/>
                <w:sz w:val="20"/>
                <w:szCs w:val="20"/>
              </w:rPr>
            </w:pPr>
            <w:r w:rsidRPr="00A63E81">
              <w:rPr>
                <w:rFonts w:ascii="Times New Roman" w:hAnsi="Times New Roman" w:cs="Times New Roman"/>
                <w:color w:val="000000"/>
                <w:sz w:val="20"/>
                <w:szCs w:val="20"/>
              </w:rPr>
              <w:t xml:space="preserve">Первая с доходами в интервале </w:t>
            </w:r>
            <w:proofErr w:type="gramStart"/>
            <w:r w:rsidRPr="00A63E81">
              <w:rPr>
                <w:rFonts w:ascii="Times New Roman" w:hAnsi="Times New Roman" w:cs="Times New Roman"/>
                <w:color w:val="000000"/>
                <w:sz w:val="20"/>
                <w:szCs w:val="20"/>
              </w:rPr>
              <w:t>53,5-67,3</w:t>
            </w:r>
            <w:proofErr w:type="gramEnd"/>
            <w:r w:rsidRPr="00A63E81">
              <w:rPr>
                <w:rFonts w:ascii="Times New Roman" w:hAnsi="Times New Roman" w:cs="Times New Roman"/>
                <w:color w:val="000000"/>
                <w:sz w:val="20"/>
                <w:szCs w:val="20"/>
              </w:rPr>
              <w:t>% от средних по РФ</w:t>
            </w:r>
          </w:p>
        </w:tc>
        <w:tc>
          <w:tcPr>
            <w:tcW w:w="1254" w:type="dxa"/>
            <w:shd w:val="clear" w:color="auto" w:fill="auto"/>
          </w:tcPr>
          <w:p w14:paraId="1883C2D5" w14:textId="77777777" w:rsidR="00A63E81" w:rsidRPr="00A63E81" w:rsidRDefault="00A63E81" w:rsidP="006E3DC0">
            <w:pPr>
              <w:ind w:left="-5"/>
              <w:rPr>
                <w:rFonts w:ascii="Times New Roman" w:eastAsia="Calibri" w:hAnsi="Times New Roman" w:cs="Times New Roman"/>
                <w:sz w:val="20"/>
                <w:szCs w:val="20"/>
              </w:rPr>
            </w:pPr>
            <w:r w:rsidRPr="00A63E81">
              <w:rPr>
                <w:rFonts w:ascii="Times New Roman" w:hAnsi="Times New Roman" w:cs="Times New Roman"/>
                <w:color w:val="000000"/>
                <w:sz w:val="20"/>
                <w:szCs w:val="20"/>
              </w:rPr>
              <w:t xml:space="preserve">Вторая с доходами в интервале </w:t>
            </w:r>
            <w:proofErr w:type="gramStart"/>
            <w:r w:rsidRPr="00A63E81">
              <w:rPr>
                <w:rFonts w:ascii="Times New Roman" w:hAnsi="Times New Roman" w:cs="Times New Roman"/>
                <w:color w:val="000000"/>
                <w:sz w:val="20"/>
                <w:szCs w:val="20"/>
              </w:rPr>
              <w:t>68,1-81,7</w:t>
            </w:r>
            <w:proofErr w:type="gramEnd"/>
            <w:r w:rsidRPr="00A63E81">
              <w:rPr>
                <w:rFonts w:ascii="Times New Roman" w:hAnsi="Times New Roman" w:cs="Times New Roman"/>
                <w:color w:val="000000"/>
                <w:sz w:val="20"/>
                <w:szCs w:val="20"/>
              </w:rPr>
              <w:t>% от средних по РФ</w:t>
            </w:r>
          </w:p>
        </w:tc>
        <w:tc>
          <w:tcPr>
            <w:tcW w:w="1255" w:type="dxa"/>
            <w:shd w:val="clear" w:color="auto" w:fill="auto"/>
          </w:tcPr>
          <w:p w14:paraId="11D63448" w14:textId="77777777" w:rsidR="00A63E81" w:rsidRPr="00A63E81" w:rsidRDefault="00A63E81" w:rsidP="006E3DC0">
            <w:pPr>
              <w:ind w:left="-5"/>
              <w:rPr>
                <w:rFonts w:ascii="Times New Roman" w:eastAsia="Calibri" w:hAnsi="Times New Roman" w:cs="Times New Roman"/>
                <w:sz w:val="20"/>
                <w:szCs w:val="20"/>
              </w:rPr>
            </w:pPr>
            <w:r w:rsidRPr="00A63E81">
              <w:rPr>
                <w:rFonts w:ascii="Times New Roman" w:hAnsi="Times New Roman" w:cs="Times New Roman"/>
                <w:color w:val="000000"/>
                <w:sz w:val="20"/>
                <w:szCs w:val="20"/>
              </w:rPr>
              <w:t xml:space="preserve">Третья с доходами в интервале </w:t>
            </w:r>
            <w:proofErr w:type="gramStart"/>
            <w:r w:rsidRPr="00A63E81">
              <w:rPr>
                <w:rFonts w:ascii="Times New Roman" w:hAnsi="Times New Roman" w:cs="Times New Roman"/>
                <w:color w:val="000000"/>
                <w:sz w:val="20"/>
                <w:szCs w:val="20"/>
              </w:rPr>
              <w:t>82,0-94,6</w:t>
            </w:r>
            <w:proofErr w:type="gramEnd"/>
            <w:r w:rsidRPr="00A63E81">
              <w:rPr>
                <w:rFonts w:ascii="Times New Roman" w:hAnsi="Times New Roman" w:cs="Times New Roman"/>
                <w:color w:val="000000"/>
                <w:sz w:val="20"/>
                <w:szCs w:val="20"/>
              </w:rPr>
              <w:t>% от средних по РФ</w:t>
            </w:r>
          </w:p>
        </w:tc>
        <w:tc>
          <w:tcPr>
            <w:tcW w:w="1255" w:type="dxa"/>
            <w:shd w:val="clear" w:color="auto" w:fill="auto"/>
          </w:tcPr>
          <w:p w14:paraId="61A06BE5" w14:textId="77777777" w:rsidR="00A63E81" w:rsidRPr="00A63E81" w:rsidRDefault="00A63E81" w:rsidP="006E3DC0">
            <w:pPr>
              <w:ind w:left="-5"/>
              <w:rPr>
                <w:rFonts w:ascii="Times New Roman" w:eastAsia="Calibri" w:hAnsi="Times New Roman" w:cs="Times New Roman"/>
                <w:sz w:val="20"/>
                <w:szCs w:val="20"/>
              </w:rPr>
            </w:pPr>
            <w:r w:rsidRPr="00A63E81">
              <w:rPr>
                <w:rFonts w:ascii="Times New Roman" w:hAnsi="Times New Roman" w:cs="Times New Roman"/>
                <w:color w:val="000000"/>
                <w:sz w:val="20"/>
                <w:szCs w:val="20"/>
              </w:rPr>
              <w:t xml:space="preserve">Четвертая с доходами в интервале </w:t>
            </w:r>
            <w:proofErr w:type="gramStart"/>
            <w:r w:rsidRPr="00A63E81">
              <w:rPr>
                <w:rFonts w:ascii="Times New Roman" w:hAnsi="Times New Roman" w:cs="Times New Roman"/>
                <w:color w:val="000000"/>
                <w:sz w:val="20"/>
                <w:szCs w:val="20"/>
              </w:rPr>
              <w:t>96,6-107,1</w:t>
            </w:r>
            <w:proofErr w:type="gramEnd"/>
            <w:r w:rsidRPr="00A63E81">
              <w:rPr>
                <w:rFonts w:ascii="Times New Roman" w:hAnsi="Times New Roman" w:cs="Times New Roman"/>
                <w:color w:val="000000"/>
                <w:sz w:val="20"/>
                <w:szCs w:val="20"/>
              </w:rPr>
              <w:t>% от средних по РФ</w:t>
            </w:r>
          </w:p>
        </w:tc>
        <w:tc>
          <w:tcPr>
            <w:tcW w:w="1508" w:type="dxa"/>
            <w:shd w:val="clear" w:color="auto" w:fill="auto"/>
          </w:tcPr>
          <w:p w14:paraId="625823CE" w14:textId="77777777" w:rsidR="00A63E81" w:rsidRPr="00A63E81" w:rsidRDefault="00A63E81" w:rsidP="006E3DC0">
            <w:pPr>
              <w:ind w:left="-5"/>
              <w:rPr>
                <w:rFonts w:ascii="Times New Roman" w:eastAsia="Calibri" w:hAnsi="Times New Roman" w:cs="Times New Roman"/>
                <w:sz w:val="20"/>
                <w:szCs w:val="20"/>
              </w:rPr>
            </w:pPr>
            <w:r w:rsidRPr="00A63E81">
              <w:rPr>
                <w:rFonts w:ascii="Times New Roman" w:hAnsi="Times New Roman" w:cs="Times New Roman"/>
                <w:color w:val="000000"/>
                <w:sz w:val="20"/>
                <w:szCs w:val="20"/>
              </w:rPr>
              <w:t xml:space="preserve">Пятая- десятая группы с доходами в интервале </w:t>
            </w:r>
            <w:proofErr w:type="gramStart"/>
            <w:r w:rsidRPr="00A63E81">
              <w:rPr>
                <w:rFonts w:ascii="Times New Roman" w:hAnsi="Times New Roman" w:cs="Times New Roman"/>
                <w:color w:val="000000"/>
                <w:sz w:val="20"/>
                <w:szCs w:val="20"/>
              </w:rPr>
              <w:t>116,8-194,8</w:t>
            </w:r>
            <w:proofErr w:type="gramEnd"/>
            <w:r w:rsidRPr="00A63E81">
              <w:rPr>
                <w:rFonts w:ascii="Times New Roman" w:hAnsi="Times New Roman" w:cs="Times New Roman"/>
                <w:color w:val="000000"/>
                <w:sz w:val="20"/>
                <w:szCs w:val="20"/>
              </w:rPr>
              <w:t>% от средних по РФ</w:t>
            </w:r>
          </w:p>
        </w:tc>
        <w:tc>
          <w:tcPr>
            <w:tcW w:w="877" w:type="dxa"/>
            <w:shd w:val="clear" w:color="auto" w:fill="auto"/>
          </w:tcPr>
          <w:p w14:paraId="6A627A16" w14:textId="77777777" w:rsidR="00A63E81" w:rsidRPr="00A63E81" w:rsidRDefault="00A63E81" w:rsidP="006E3DC0">
            <w:pPr>
              <w:ind w:left="-5"/>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всего</w:t>
            </w:r>
          </w:p>
        </w:tc>
      </w:tr>
      <w:tr w:rsidR="00A63E81" w:rsidRPr="00221F51" w14:paraId="1E049A3C" w14:textId="77777777" w:rsidTr="00A63E81">
        <w:tc>
          <w:tcPr>
            <w:tcW w:w="2118" w:type="dxa"/>
            <w:shd w:val="clear" w:color="auto" w:fill="auto"/>
            <w:vAlign w:val="bottom"/>
          </w:tcPr>
          <w:p w14:paraId="1CDF7383"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 xml:space="preserve">число регионов </w:t>
            </w:r>
          </w:p>
        </w:tc>
        <w:tc>
          <w:tcPr>
            <w:tcW w:w="1254" w:type="dxa"/>
            <w:shd w:val="clear" w:color="auto" w:fill="auto"/>
            <w:vAlign w:val="bottom"/>
          </w:tcPr>
          <w:p w14:paraId="435F1E2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12</w:t>
            </w:r>
          </w:p>
        </w:tc>
        <w:tc>
          <w:tcPr>
            <w:tcW w:w="1254" w:type="dxa"/>
            <w:shd w:val="clear" w:color="auto" w:fill="auto"/>
            <w:vAlign w:val="bottom"/>
          </w:tcPr>
          <w:p w14:paraId="3315063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24</w:t>
            </w:r>
          </w:p>
        </w:tc>
        <w:tc>
          <w:tcPr>
            <w:tcW w:w="1255" w:type="dxa"/>
            <w:shd w:val="clear" w:color="auto" w:fill="auto"/>
            <w:vAlign w:val="bottom"/>
          </w:tcPr>
          <w:p w14:paraId="489CB82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30</w:t>
            </w:r>
          </w:p>
        </w:tc>
        <w:tc>
          <w:tcPr>
            <w:tcW w:w="1255" w:type="dxa"/>
            <w:shd w:val="clear" w:color="auto" w:fill="auto"/>
            <w:vAlign w:val="bottom"/>
          </w:tcPr>
          <w:p w14:paraId="3F51D59C"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w:t>
            </w:r>
          </w:p>
        </w:tc>
        <w:tc>
          <w:tcPr>
            <w:tcW w:w="1508" w:type="dxa"/>
            <w:shd w:val="clear" w:color="auto" w:fill="auto"/>
            <w:vAlign w:val="bottom"/>
          </w:tcPr>
          <w:p w14:paraId="417C9DE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w:t>
            </w:r>
          </w:p>
        </w:tc>
        <w:tc>
          <w:tcPr>
            <w:tcW w:w="877" w:type="dxa"/>
            <w:shd w:val="clear" w:color="auto" w:fill="auto"/>
            <w:vAlign w:val="bottom"/>
          </w:tcPr>
          <w:p w14:paraId="64C2BE1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85</w:t>
            </w:r>
          </w:p>
        </w:tc>
      </w:tr>
      <w:tr w:rsidR="00A63E81" w:rsidRPr="00221F51" w14:paraId="20008933" w14:textId="77777777" w:rsidTr="00A63E81">
        <w:tc>
          <w:tcPr>
            <w:tcW w:w="2118" w:type="dxa"/>
            <w:shd w:val="clear" w:color="auto" w:fill="auto"/>
            <w:vAlign w:val="bottom"/>
          </w:tcPr>
          <w:p w14:paraId="319DA3A6" w14:textId="77777777" w:rsidR="00A63E81" w:rsidRPr="00A63E81" w:rsidRDefault="00A63E81" w:rsidP="006E3DC0">
            <w:pPr>
              <w:ind w:left="-5"/>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Отношение среднего по группе показателя к среднему по РФ</w:t>
            </w:r>
          </w:p>
        </w:tc>
        <w:tc>
          <w:tcPr>
            <w:tcW w:w="1254" w:type="dxa"/>
            <w:shd w:val="clear" w:color="auto" w:fill="auto"/>
            <w:vAlign w:val="bottom"/>
          </w:tcPr>
          <w:p w14:paraId="079BE575" w14:textId="77777777" w:rsidR="00A63E81" w:rsidRPr="00A63E81" w:rsidRDefault="00A63E81" w:rsidP="006E3DC0">
            <w:pPr>
              <w:ind w:left="-5"/>
              <w:jc w:val="right"/>
              <w:rPr>
                <w:rFonts w:ascii="Times New Roman" w:hAnsi="Times New Roman" w:cs="Times New Roman"/>
                <w:color w:val="000000"/>
                <w:sz w:val="20"/>
                <w:szCs w:val="20"/>
              </w:rPr>
            </w:pPr>
          </w:p>
        </w:tc>
        <w:tc>
          <w:tcPr>
            <w:tcW w:w="1254" w:type="dxa"/>
            <w:shd w:val="clear" w:color="auto" w:fill="auto"/>
            <w:vAlign w:val="bottom"/>
          </w:tcPr>
          <w:p w14:paraId="02BE7E4B" w14:textId="77777777" w:rsidR="00A63E81" w:rsidRPr="00A63E81" w:rsidRDefault="00A63E81" w:rsidP="006E3DC0">
            <w:pPr>
              <w:ind w:left="-5"/>
              <w:jc w:val="right"/>
              <w:rPr>
                <w:rFonts w:ascii="Times New Roman" w:hAnsi="Times New Roman" w:cs="Times New Roman"/>
                <w:color w:val="000000"/>
                <w:sz w:val="20"/>
                <w:szCs w:val="20"/>
              </w:rPr>
            </w:pPr>
          </w:p>
        </w:tc>
        <w:tc>
          <w:tcPr>
            <w:tcW w:w="1255" w:type="dxa"/>
            <w:shd w:val="clear" w:color="auto" w:fill="auto"/>
            <w:vAlign w:val="bottom"/>
          </w:tcPr>
          <w:p w14:paraId="60FFACFB" w14:textId="77777777" w:rsidR="00A63E81" w:rsidRPr="00A63E81" w:rsidRDefault="00A63E81" w:rsidP="006E3DC0">
            <w:pPr>
              <w:ind w:left="-5"/>
              <w:jc w:val="right"/>
              <w:rPr>
                <w:rFonts w:ascii="Times New Roman" w:hAnsi="Times New Roman" w:cs="Times New Roman"/>
                <w:color w:val="000000"/>
                <w:sz w:val="20"/>
                <w:szCs w:val="20"/>
              </w:rPr>
            </w:pPr>
          </w:p>
        </w:tc>
        <w:tc>
          <w:tcPr>
            <w:tcW w:w="1255" w:type="dxa"/>
            <w:shd w:val="clear" w:color="auto" w:fill="auto"/>
            <w:vAlign w:val="bottom"/>
          </w:tcPr>
          <w:p w14:paraId="4B9BF9B1" w14:textId="77777777" w:rsidR="00A63E81" w:rsidRPr="00A63E81" w:rsidRDefault="00A63E81" w:rsidP="006E3DC0">
            <w:pPr>
              <w:ind w:left="-5"/>
              <w:jc w:val="right"/>
              <w:rPr>
                <w:rFonts w:ascii="Times New Roman" w:hAnsi="Times New Roman" w:cs="Times New Roman"/>
                <w:color w:val="000000"/>
                <w:sz w:val="20"/>
                <w:szCs w:val="20"/>
              </w:rPr>
            </w:pPr>
          </w:p>
        </w:tc>
        <w:tc>
          <w:tcPr>
            <w:tcW w:w="1508" w:type="dxa"/>
            <w:shd w:val="clear" w:color="auto" w:fill="auto"/>
            <w:vAlign w:val="bottom"/>
          </w:tcPr>
          <w:p w14:paraId="39C6EA58" w14:textId="77777777" w:rsidR="00A63E81" w:rsidRPr="00A63E81" w:rsidRDefault="00A63E81" w:rsidP="006E3DC0">
            <w:pPr>
              <w:ind w:left="-5"/>
              <w:jc w:val="right"/>
              <w:rPr>
                <w:rFonts w:ascii="Times New Roman" w:hAnsi="Times New Roman" w:cs="Times New Roman"/>
                <w:color w:val="000000"/>
                <w:sz w:val="20"/>
                <w:szCs w:val="20"/>
              </w:rPr>
            </w:pPr>
          </w:p>
        </w:tc>
        <w:tc>
          <w:tcPr>
            <w:tcW w:w="877" w:type="dxa"/>
            <w:shd w:val="clear" w:color="auto" w:fill="auto"/>
            <w:vAlign w:val="bottom"/>
          </w:tcPr>
          <w:p w14:paraId="1F191327" w14:textId="77777777" w:rsidR="00A63E81" w:rsidRPr="00A63E81" w:rsidRDefault="00A63E81" w:rsidP="006E3DC0">
            <w:pPr>
              <w:ind w:left="-5"/>
              <w:jc w:val="right"/>
              <w:rPr>
                <w:rFonts w:ascii="Times New Roman" w:hAnsi="Times New Roman" w:cs="Times New Roman"/>
                <w:color w:val="000000"/>
                <w:sz w:val="20"/>
                <w:szCs w:val="20"/>
              </w:rPr>
            </w:pPr>
          </w:p>
        </w:tc>
      </w:tr>
      <w:tr w:rsidR="00A63E81" w:rsidRPr="00221F51" w14:paraId="6AA5476A" w14:textId="77777777" w:rsidTr="00A63E81">
        <w:tc>
          <w:tcPr>
            <w:tcW w:w="2118" w:type="dxa"/>
            <w:shd w:val="clear" w:color="auto" w:fill="auto"/>
            <w:vAlign w:val="bottom"/>
          </w:tcPr>
          <w:p w14:paraId="4F9C2EAF"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Денежные доходы населения</w:t>
            </w:r>
          </w:p>
        </w:tc>
        <w:tc>
          <w:tcPr>
            <w:tcW w:w="1254" w:type="dxa"/>
            <w:shd w:val="clear" w:color="auto" w:fill="auto"/>
            <w:vAlign w:val="bottom"/>
          </w:tcPr>
          <w:p w14:paraId="35B7E284"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66,2</w:t>
            </w:r>
          </w:p>
        </w:tc>
        <w:tc>
          <w:tcPr>
            <w:tcW w:w="1254" w:type="dxa"/>
            <w:shd w:val="clear" w:color="auto" w:fill="auto"/>
            <w:vAlign w:val="bottom"/>
          </w:tcPr>
          <w:p w14:paraId="6A79ADD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79,3</w:t>
            </w:r>
          </w:p>
        </w:tc>
        <w:tc>
          <w:tcPr>
            <w:tcW w:w="1255" w:type="dxa"/>
            <w:shd w:val="clear" w:color="auto" w:fill="auto"/>
            <w:vAlign w:val="bottom"/>
          </w:tcPr>
          <w:p w14:paraId="590F847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92,0</w:t>
            </w:r>
          </w:p>
        </w:tc>
        <w:tc>
          <w:tcPr>
            <w:tcW w:w="1255" w:type="dxa"/>
            <w:shd w:val="clear" w:color="auto" w:fill="auto"/>
            <w:vAlign w:val="bottom"/>
          </w:tcPr>
          <w:p w14:paraId="4359EE9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103,6</w:t>
            </w:r>
          </w:p>
        </w:tc>
        <w:tc>
          <w:tcPr>
            <w:tcW w:w="1508" w:type="dxa"/>
            <w:shd w:val="clear" w:color="auto" w:fill="auto"/>
            <w:vAlign w:val="bottom"/>
          </w:tcPr>
          <w:p w14:paraId="6C2338D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136,0</w:t>
            </w:r>
          </w:p>
        </w:tc>
        <w:tc>
          <w:tcPr>
            <w:tcW w:w="877" w:type="dxa"/>
            <w:shd w:val="clear" w:color="auto" w:fill="auto"/>
            <w:vAlign w:val="bottom"/>
          </w:tcPr>
          <w:p w14:paraId="1E48D1CC"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35247*</w:t>
            </w:r>
          </w:p>
        </w:tc>
      </w:tr>
      <w:tr w:rsidR="00A63E81" w:rsidRPr="00221F51" w14:paraId="24E76ACC" w14:textId="77777777" w:rsidTr="00A63E81">
        <w:tc>
          <w:tcPr>
            <w:tcW w:w="2118" w:type="dxa"/>
            <w:shd w:val="clear" w:color="auto" w:fill="auto"/>
            <w:vAlign w:val="bottom"/>
          </w:tcPr>
          <w:p w14:paraId="61B19236"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Начисленная заработная плата</w:t>
            </w:r>
          </w:p>
        </w:tc>
        <w:tc>
          <w:tcPr>
            <w:tcW w:w="1254" w:type="dxa"/>
            <w:shd w:val="clear" w:color="auto" w:fill="auto"/>
            <w:vAlign w:val="bottom"/>
          </w:tcPr>
          <w:p w14:paraId="7443004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76,0</w:t>
            </w:r>
          </w:p>
        </w:tc>
        <w:tc>
          <w:tcPr>
            <w:tcW w:w="1254" w:type="dxa"/>
            <w:shd w:val="clear" w:color="auto" w:fill="auto"/>
            <w:vAlign w:val="bottom"/>
          </w:tcPr>
          <w:p w14:paraId="496D80E6"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83,0</w:t>
            </w:r>
          </w:p>
        </w:tc>
        <w:tc>
          <w:tcPr>
            <w:tcW w:w="1255" w:type="dxa"/>
            <w:shd w:val="clear" w:color="auto" w:fill="auto"/>
            <w:vAlign w:val="bottom"/>
          </w:tcPr>
          <w:p w14:paraId="08F6D5E5"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90,2</w:t>
            </w:r>
          </w:p>
        </w:tc>
        <w:tc>
          <w:tcPr>
            <w:tcW w:w="1255" w:type="dxa"/>
            <w:shd w:val="clear" w:color="auto" w:fill="auto"/>
            <w:vAlign w:val="bottom"/>
          </w:tcPr>
          <w:p w14:paraId="0078599C"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87,0</w:t>
            </w:r>
          </w:p>
        </w:tc>
        <w:tc>
          <w:tcPr>
            <w:tcW w:w="1508" w:type="dxa"/>
            <w:shd w:val="clear" w:color="auto" w:fill="auto"/>
            <w:vAlign w:val="bottom"/>
          </w:tcPr>
          <w:p w14:paraId="2412579E"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131,3</w:t>
            </w:r>
          </w:p>
        </w:tc>
        <w:tc>
          <w:tcPr>
            <w:tcW w:w="877" w:type="dxa"/>
            <w:shd w:val="clear" w:color="auto" w:fill="auto"/>
            <w:vAlign w:val="bottom"/>
          </w:tcPr>
          <w:p w14:paraId="6EB806BD"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47867*</w:t>
            </w:r>
          </w:p>
        </w:tc>
      </w:tr>
      <w:tr w:rsidR="00A63E81" w:rsidRPr="00221F51" w14:paraId="31F12F14" w14:textId="77777777" w:rsidTr="00A63E81">
        <w:tc>
          <w:tcPr>
            <w:tcW w:w="2118" w:type="dxa"/>
            <w:shd w:val="clear" w:color="auto" w:fill="auto"/>
            <w:vAlign w:val="bottom"/>
          </w:tcPr>
          <w:p w14:paraId="5CF8E628"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Средний размер пенсии</w:t>
            </w:r>
          </w:p>
        </w:tc>
        <w:tc>
          <w:tcPr>
            <w:tcW w:w="1254" w:type="dxa"/>
            <w:shd w:val="clear" w:color="auto" w:fill="auto"/>
            <w:vAlign w:val="bottom"/>
          </w:tcPr>
          <w:p w14:paraId="53A26266"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95,9</w:t>
            </w:r>
          </w:p>
        </w:tc>
        <w:tc>
          <w:tcPr>
            <w:tcW w:w="1254" w:type="dxa"/>
            <w:shd w:val="clear" w:color="auto" w:fill="auto"/>
            <w:vAlign w:val="bottom"/>
          </w:tcPr>
          <w:p w14:paraId="17A5C30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102,7</w:t>
            </w:r>
          </w:p>
        </w:tc>
        <w:tc>
          <w:tcPr>
            <w:tcW w:w="1255" w:type="dxa"/>
            <w:shd w:val="clear" w:color="auto" w:fill="auto"/>
            <w:vAlign w:val="bottom"/>
          </w:tcPr>
          <w:p w14:paraId="4D382442"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102,3</w:t>
            </w:r>
          </w:p>
        </w:tc>
        <w:tc>
          <w:tcPr>
            <w:tcW w:w="1255" w:type="dxa"/>
            <w:shd w:val="clear" w:color="auto" w:fill="auto"/>
            <w:vAlign w:val="bottom"/>
          </w:tcPr>
          <w:p w14:paraId="7DD3D8B5"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98,4</w:t>
            </w:r>
          </w:p>
        </w:tc>
        <w:tc>
          <w:tcPr>
            <w:tcW w:w="1508" w:type="dxa"/>
            <w:shd w:val="clear" w:color="auto" w:fill="auto"/>
            <w:vAlign w:val="bottom"/>
          </w:tcPr>
          <w:p w14:paraId="432D84B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95,3</w:t>
            </w:r>
          </w:p>
        </w:tc>
        <w:tc>
          <w:tcPr>
            <w:tcW w:w="877" w:type="dxa"/>
            <w:shd w:val="clear" w:color="auto" w:fill="auto"/>
            <w:vAlign w:val="bottom"/>
          </w:tcPr>
          <w:p w14:paraId="4448A51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14102*</w:t>
            </w:r>
          </w:p>
        </w:tc>
      </w:tr>
      <w:tr w:rsidR="00A63E81" w:rsidRPr="00221F51" w14:paraId="697DD596" w14:textId="77777777" w:rsidTr="00A63E81">
        <w:tc>
          <w:tcPr>
            <w:tcW w:w="2118" w:type="dxa"/>
            <w:shd w:val="clear" w:color="auto" w:fill="auto"/>
            <w:vAlign w:val="bottom"/>
          </w:tcPr>
          <w:p w14:paraId="0CA7EB0F" w14:textId="77777777" w:rsidR="00A63E81" w:rsidRPr="00A63E81" w:rsidRDefault="00A63E81" w:rsidP="006E3DC0">
            <w:pPr>
              <w:ind w:left="-5"/>
              <w:jc w:val="both"/>
              <w:rPr>
                <w:rFonts w:ascii="Times New Roman" w:eastAsia="Calibri" w:hAnsi="Times New Roman" w:cs="Times New Roman"/>
                <w:sz w:val="20"/>
                <w:szCs w:val="20"/>
              </w:rPr>
            </w:pPr>
            <w:r w:rsidRPr="00A63E81">
              <w:rPr>
                <w:rFonts w:ascii="Times New Roman" w:hAnsi="Times New Roman" w:cs="Times New Roman"/>
                <w:color w:val="000000"/>
                <w:sz w:val="20"/>
                <w:szCs w:val="20"/>
              </w:rPr>
              <w:t>Пособия и социальная помощь на душу населения</w:t>
            </w:r>
          </w:p>
        </w:tc>
        <w:tc>
          <w:tcPr>
            <w:tcW w:w="1254" w:type="dxa"/>
            <w:tcBorders>
              <w:bottom w:val="single" w:sz="4" w:space="0" w:color="auto"/>
            </w:tcBorders>
            <w:shd w:val="clear" w:color="auto" w:fill="auto"/>
            <w:vAlign w:val="bottom"/>
          </w:tcPr>
          <w:p w14:paraId="20F15B4B"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91,4</w:t>
            </w:r>
          </w:p>
        </w:tc>
        <w:tc>
          <w:tcPr>
            <w:tcW w:w="1254" w:type="dxa"/>
            <w:tcBorders>
              <w:bottom w:val="single" w:sz="4" w:space="0" w:color="auto"/>
            </w:tcBorders>
            <w:shd w:val="clear" w:color="auto" w:fill="auto"/>
            <w:vAlign w:val="bottom"/>
          </w:tcPr>
          <w:p w14:paraId="6648129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96,5</w:t>
            </w:r>
          </w:p>
        </w:tc>
        <w:tc>
          <w:tcPr>
            <w:tcW w:w="1255" w:type="dxa"/>
            <w:tcBorders>
              <w:bottom w:val="single" w:sz="4" w:space="0" w:color="auto"/>
            </w:tcBorders>
            <w:shd w:val="clear" w:color="auto" w:fill="auto"/>
            <w:vAlign w:val="bottom"/>
          </w:tcPr>
          <w:p w14:paraId="75FE8D4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95,1</w:t>
            </w:r>
          </w:p>
        </w:tc>
        <w:tc>
          <w:tcPr>
            <w:tcW w:w="1255" w:type="dxa"/>
            <w:tcBorders>
              <w:bottom w:val="single" w:sz="4" w:space="0" w:color="auto"/>
            </w:tcBorders>
            <w:shd w:val="clear" w:color="auto" w:fill="auto"/>
            <w:vAlign w:val="bottom"/>
          </w:tcPr>
          <w:p w14:paraId="417F269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93,5</w:t>
            </w:r>
          </w:p>
        </w:tc>
        <w:tc>
          <w:tcPr>
            <w:tcW w:w="1508" w:type="dxa"/>
            <w:tcBorders>
              <w:bottom w:val="single" w:sz="4" w:space="0" w:color="auto"/>
            </w:tcBorders>
            <w:shd w:val="clear" w:color="auto" w:fill="auto"/>
            <w:vAlign w:val="bottom"/>
          </w:tcPr>
          <w:p w14:paraId="45F7B56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114,9</w:t>
            </w:r>
          </w:p>
        </w:tc>
        <w:tc>
          <w:tcPr>
            <w:tcW w:w="877" w:type="dxa"/>
            <w:tcBorders>
              <w:bottom w:val="single" w:sz="4" w:space="0" w:color="auto"/>
            </w:tcBorders>
            <w:shd w:val="clear" w:color="auto" w:fill="auto"/>
            <w:vAlign w:val="bottom"/>
          </w:tcPr>
          <w:p w14:paraId="4AF66497"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1523*</w:t>
            </w:r>
          </w:p>
        </w:tc>
      </w:tr>
      <w:tr w:rsidR="00A63E81" w:rsidRPr="00221F51" w14:paraId="17D487C6" w14:textId="77777777" w:rsidTr="00A63E81">
        <w:tc>
          <w:tcPr>
            <w:tcW w:w="2118" w:type="dxa"/>
            <w:shd w:val="clear" w:color="auto" w:fill="auto"/>
            <w:vAlign w:val="bottom"/>
          </w:tcPr>
          <w:p w14:paraId="1B77C871" w14:textId="77777777" w:rsidR="00A63E81" w:rsidRPr="00A63E81" w:rsidRDefault="00A63E81" w:rsidP="006E3DC0">
            <w:pPr>
              <w:ind w:left="-5"/>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Доходы от предпринимательской деятельности на душу населения</w:t>
            </w:r>
          </w:p>
        </w:tc>
        <w:tc>
          <w:tcPr>
            <w:tcW w:w="1254" w:type="dxa"/>
            <w:tcBorders>
              <w:top w:val="single" w:sz="4" w:space="0" w:color="auto"/>
              <w:left w:val="nil"/>
              <w:bottom w:val="single" w:sz="4" w:space="0" w:color="auto"/>
              <w:right w:val="single" w:sz="4" w:space="0" w:color="auto"/>
            </w:tcBorders>
            <w:shd w:val="clear" w:color="auto" w:fill="auto"/>
            <w:vAlign w:val="bottom"/>
          </w:tcPr>
          <w:p w14:paraId="5D514E92"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89,0</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134027BC"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88,5</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tcPr>
          <w:p w14:paraId="1F4111F8"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98,6</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tcPr>
          <w:p w14:paraId="1E5B1330"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127,4</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26FBE5D7"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102,6</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28AD34EF"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2079*</w:t>
            </w:r>
          </w:p>
        </w:tc>
      </w:tr>
      <w:tr w:rsidR="00A63E81" w:rsidRPr="00221F51" w14:paraId="30CF57F0" w14:textId="77777777" w:rsidTr="00A63E81">
        <w:tc>
          <w:tcPr>
            <w:tcW w:w="2118" w:type="dxa"/>
            <w:shd w:val="clear" w:color="auto" w:fill="auto"/>
            <w:vAlign w:val="bottom"/>
          </w:tcPr>
          <w:p w14:paraId="4F696D54" w14:textId="77777777" w:rsidR="00A63E81" w:rsidRPr="00A63E81" w:rsidRDefault="00A63E81" w:rsidP="006E3DC0">
            <w:pPr>
              <w:ind w:left="-5"/>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Доля группы в суммарном показателе:</w:t>
            </w:r>
          </w:p>
        </w:tc>
        <w:tc>
          <w:tcPr>
            <w:tcW w:w="1254" w:type="dxa"/>
            <w:tcBorders>
              <w:top w:val="single" w:sz="4" w:space="0" w:color="auto"/>
            </w:tcBorders>
            <w:shd w:val="clear" w:color="auto" w:fill="auto"/>
            <w:vAlign w:val="bottom"/>
          </w:tcPr>
          <w:p w14:paraId="1A940469" w14:textId="77777777" w:rsidR="00A63E81" w:rsidRPr="00A63E81" w:rsidRDefault="00A63E81" w:rsidP="006E3DC0">
            <w:pPr>
              <w:ind w:left="-5"/>
              <w:jc w:val="right"/>
              <w:rPr>
                <w:rFonts w:ascii="Times New Roman" w:hAnsi="Times New Roman" w:cs="Times New Roman"/>
                <w:color w:val="000000"/>
                <w:sz w:val="20"/>
                <w:szCs w:val="20"/>
              </w:rPr>
            </w:pPr>
          </w:p>
        </w:tc>
        <w:tc>
          <w:tcPr>
            <w:tcW w:w="1254" w:type="dxa"/>
            <w:tcBorders>
              <w:top w:val="single" w:sz="4" w:space="0" w:color="auto"/>
            </w:tcBorders>
            <w:shd w:val="clear" w:color="auto" w:fill="auto"/>
            <w:vAlign w:val="bottom"/>
          </w:tcPr>
          <w:p w14:paraId="3B7A0244" w14:textId="77777777" w:rsidR="00A63E81" w:rsidRPr="00A63E81" w:rsidRDefault="00A63E81" w:rsidP="006E3DC0">
            <w:pPr>
              <w:ind w:left="-5"/>
              <w:jc w:val="right"/>
              <w:rPr>
                <w:rFonts w:ascii="Times New Roman" w:hAnsi="Times New Roman" w:cs="Times New Roman"/>
                <w:color w:val="000000"/>
                <w:sz w:val="20"/>
                <w:szCs w:val="20"/>
              </w:rPr>
            </w:pPr>
          </w:p>
        </w:tc>
        <w:tc>
          <w:tcPr>
            <w:tcW w:w="1255" w:type="dxa"/>
            <w:tcBorders>
              <w:top w:val="single" w:sz="4" w:space="0" w:color="auto"/>
            </w:tcBorders>
            <w:shd w:val="clear" w:color="auto" w:fill="auto"/>
            <w:vAlign w:val="bottom"/>
          </w:tcPr>
          <w:p w14:paraId="52B5C78A" w14:textId="77777777" w:rsidR="00A63E81" w:rsidRPr="00A63E81" w:rsidRDefault="00A63E81" w:rsidP="006E3DC0">
            <w:pPr>
              <w:ind w:left="-5"/>
              <w:jc w:val="right"/>
              <w:rPr>
                <w:rFonts w:ascii="Times New Roman" w:hAnsi="Times New Roman" w:cs="Times New Roman"/>
                <w:color w:val="000000"/>
                <w:sz w:val="20"/>
                <w:szCs w:val="20"/>
              </w:rPr>
            </w:pPr>
          </w:p>
        </w:tc>
        <w:tc>
          <w:tcPr>
            <w:tcW w:w="1255" w:type="dxa"/>
            <w:tcBorders>
              <w:top w:val="single" w:sz="4" w:space="0" w:color="auto"/>
            </w:tcBorders>
            <w:shd w:val="clear" w:color="auto" w:fill="auto"/>
            <w:vAlign w:val="bottom"/>
          </w:tcPr>
          <w:p w14:paraId="22B4D4FF" w14:textId="77777777" w:rsidR="00A63E81" w:rsidRPr="00A63E81" w:rsidRDefault="00A63E81" w:rsidP="006E3DC0">
            <w:pPr>
              <w:ind w:left="-5"/>
              <w:jc w:val="right"/>
              <w:rPr>
                <w:rFonts w:ascii="Times New Roman" w:hAnsi="Times New Roman" w:cs="Times New Roman"/>
                <w:color w:val="000000"/>
                <w:sz w:val="20"/>
                <w:szCs w:val="20"/>
              </w:rPr>
            </w:pPr>
          </w:p>
        </w:tc>
        <w:tc>
          <w:tcPr>
            <w:tcW w:w="1508" w:type="dxa"/>
            <w:tcBorders>
              <w:top w:val="single" w:sz="4" w:space="0" w:color="auto"/>
            </w:tcBorders>
            <w:shd w:val="clear" w:color="auto" w:fill="auto"/>
            <w:vAlign w:val="bottom"/>
          </w:tcPr>
          <w:p w14:paraId="0E5C08A4" w14:textId="77777777" w:rsidR="00A63E81" w:rsidRPr="00A63E81" w:rsidRDefault="00A63E81" w:rsidP="006E3DC0">
            <w:pPr>
              <w:ind w:left="-5"/>
              <w:jc w:val="right"/>
              <w:rPr>
                <w:rFonts w:ascii="Times New Roman" w:hAnsi="Times New Roman" w:cs="Times New Roman"/>
                <w:color w:val="000000"/>
                <w:sz w:val="20"/>
                <w:szCs w:val="20"/>
              </w:rPr>
            </w:pPr>
          </w:p>
        </w:tc>
        <w:tc>
          <w:tcPr>
            <w:tcW w:w="877" w:type="dxa"/>
            <w:tcBorders>
              <w:top w:val="single" w:sz="4" w:space="0" w:color="auto"/>
            </w:tcBorders>
            <w:shd w:val="clear" w:color="auto" w:fill="auto"/>
            <w:vAlign w:val="bottom"/>
          </w:tcPr>
          <w:p w14:paraId="7BC4326C" w14:textId="77777777" w:rsidR="00A63E81" w:rsidRPr="00A63E81" w:rsidRDefault="00A63E81" w:rsidP="006E3DC0">
            <w:pPr>
              <w:ind w:left="-5"/>
              <w:jc w:val="right"/>
              <w:rPr>
                <w:rFonts w:ascii="Times New Roman" w:hAnsi="Times New Roman" w:cs="Times New Roman"/>
                <w:color w:val="000000"/>
                <w:sz w:val="20"/>
                <w:szCs w:val="20"/>
              </w:rPr>
            </w:pPr>
          </w:p>
        </w:tc>
      </w:tr>
      <w:tr w:rsidR="00A63E81" w:rsidRPr="00221F51" w14:paraId="1FABFC92" w14:textId="77777777" w:rsidTr="00A63E81">
        <w:tc>
          <w:tcPr>
            <w:tcW w:w="2118" w:type="dxa"/>
            <w:shd w:val="clear" w:color="auto" w:fill="auto"/>
            <w:vAlign w:val="bottom"/>
          </w:tcPr>
          <w:p w14:paraId="1D6D7206"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денежных доходах населения</w:t>
            </w:r>
          </w:p>
        </w:tc>
        <w:tc>
          <w:tcPr>
            <w:tcW w:w="1254" w:type="dxa"/>
            <w:shd w:val="clear" w:color="auto" w:fill="auto"/>
            <w:vAlign w:val="bottom"/>
          </w:tcPr>
          <w:p w14:paraId="0ABC0FD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3,4</w:t>
            </w:r>
          </w:p>
        </w:tc>
        <w:tc>
          <w:tcPr>
            <w:tcW w:w="1254" w:type="dxa"/>
            <w:shd w:val="clear" w:color="auto" w:fill="auto"/>
            <w:vAlign w:val="bottom"/>
          </w:tcPr>
          <w:p w14:paraId="6BB9A09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19,0</w:t>
            </w:r>
          </w:p>
        </w:tc>
        <w:tc>
          <w:tcPr>
            <w:tcW w:w="1255" w:type="dxa"/>
            <w:shd w:val="clear" w:color="auto" w:fill="auto"/>
            <w:vAlign w:val="bottom"/>
          </w:tcPr>
          <w:p w14:paraId="4B53DFF5"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31,5</w:t>
            </w:r>
          </w:p>
        </w:tc>
        <w:tc>
          <w:tcPr>
            <w:tcW w:w="1255" w:type="dxa"/>
            <w:shd w:val="clear" w:color="auto" w:fill="auto"/>
            <w:vAlign w:val="bottom"/>
          </w:tcPr>
          <w:p w14:paraId="6BC39EEE"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11,9</w:t>
            </w:r>
          </w:p>
        </w:tc>
        <w:tc>
          <w:tcPr>
            <w:tcW w:w="1508" w:type="dxa"/>
            <w:shd w:val="clear" w:color="auto" w:fill="auto"/>
            <w:vAlign w:val="bottom"/>
          </w:tcPr>
          <w:p w14:paraId="4AB5040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34,1</w:t>
            </w:r>
          </w:p>
        </w:tc>
        <w:tc>
          <w:tcPr>
            <w:tcW w:w="877" w:type="dxa"/>
            <w:shd w:val="clear" w:color="auto" w:fill="auto"/>
            <w:vAlign w:val="bottom"/>
          </w:tcPr>
          <w:p w14:paraId="1D67517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21F51" w14:paraId="381B2CD9" w14:textId="77777777" w:rsidTr="00A63E81">
        <w:tc>
          <w:tcPr>
            <w:tcW w:w="2118" w:type="dxa"/>
            <w:shd w:val="clear" w:color="auto" w:fill="auto"/>
            <w:vAlign w:val="bottom"/>
          </w:tcPr>
          <w:p w14:paraId="24054070" w14:textId="77777777" w:rsidR="00A63E81" w:rsidRPr="00A63E81" w:rsidRDefault="00A63E81" w:rsidP="006E3DC0">
            <w:pPr>
              <w:ind w:left="-5"/>
              <w:jc w:val="both"/>
              <w:rPr>
                <w:rFonts w:ascii="Times New Roman" w:eastAsia="Calibri" w:hAnsi="Times New Roman" w:cs="Times New Roman"/>
                <w:sz w:val="20"/>
                <w:szCs w:val="20"/>
              </w:rPr>
            </w:pPr>
            <w:r w:rsidRPr="00A63E81">
              <w:rPr>
                <w:rFonts w:ascii="Times New Roman" w:hAnsi="Times New Roman" w:cs="Times New Roman"/>
                <w:color w:val="000000"/>
                <w:sz w:val="20"/>
                <w:szCs w:val="20"/>
              </w:rPr>
              <w:t>Начисленной заработной плате</w:t>
            </w:r>
          </w:p>
        </w:tc>
        <w:tc>
          <w:tcPr>
            <w:tcW w:w="1254" w:type="dxa"/>
            <w:shd w:val="clear" w:color="auto" w:fill="auto"/>
            <w:vAlign w:val="bottom"/>
          </w:tcPr>
          <w:p w14:paraId="7885C287"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3,3</w:t>
            </w:r>
          </w:p>
        </w:tc>
        <w:tc>
          <w:tcPr>
            <w:tcW w:w="1254" w:type="dxa"/>
            <w:shd w:val="clear" w:color="auto" w:fill="auto"/>
            <w:vAlign w:val="bottom"/>
          </w:tcPr>
          <w:p w14:paraId="3E84BDF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18,0</w:t>
            </w:r>
          </w:p>
        </w:tc>
        <w:tc>
          <w:tcPr>
            <w:tcW w:w="1255" w:type="dxa"/>
            <w:shd w:val="clear" w:color="auto" w:fill="auto"/>
            <w:vAlign w:val="bottom"/>
          </w:tcPr>
          <w:p w14:paraId="057774A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29,0</w:t>
            </w:r>
          </w:p>
        </w:tc>
        <w:tc>
          <w:tcPr>
            <w:tcW w:w="1255" w:type="dxa"/>
            <w:shd w:val="clear" w:color="auto" w:fill="auto"/>
            <w:vAlign w:val="bottom"/>
          </w:tcPr>
          <w:p w14:paraId="52C23987"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10,1</w:t>
            </w:r>
          </w:p>
        </w:tc>
        <w:tc>
          <w:tcPr>
            <w:tcW w:w="1508" w:type="dxa"/>
            <w:shd w:val="clear" w:color="auto" w:fill="auto"/>
            <w:vAlign w:val="bottom"/>
          </w:tcPr>
          <w:p w14:paraId="0025BF3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39,5</w:t>
            </w:r>
          </w:p>
        </w:tc>
        <w:tc>
          <w:tcPr>
            <w:tcW w:w="877" w:type="dxa"/>
            <w:shd w:val="clear" w:color="auto" w:fill="auto"/>
            <w:vAlign w:val="bottom"/>
          </w:tcPr>
          <w:p w14:paraId="4326872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21F51" w14:paraId="443DD0C4" w14:textId="77777777" w:rsidTr="00A63E81">
        <w:tc>
          <w:tcPr>
            <w:tcW w:w="2118" w:type="dxa"/>
            <w:shd w:val="clear" w:color="auto" w:fill="auto"/>
            <w:vAlign w:val="bottom"/>
          </w:tcPr>
          <w:p w14:paraId="05944E9D" w14:textId="77777777" w:rsidR="00A63E81" w:rsidRPr="00A63E81" w:rsidRDefault="00A63E81" w:rsidP="006E3DC0">
            <w:pPr>
              <w:ind w:left="-5"/>
              <w:jc w:val="both"/>
              <w:rPr>
                <w:rFonts w:ascii="Times New Roman" w:eastAsia="Calibri" w:hAnsi="Times New Roman" w:cs="Times New Roman"/>
                <w:sz w:val="20"/>
                <w:szCs w:val="20"/>
              </w:rPr>
            </w:pPr>
            <w:r w:rsidRPr="00A63E81">
              <w:rPr>
                <w:rFonts w:ascii="Times New Roman" w:eastAsia="Calibri" w:hAnsi="Times New Roman" w:cs="Times New Roman"/>
                <w:sz w:val="20"/>
                <w:szCs w:val="20"/>
              </w:rPr>
              <w:t>Пенсиях</w:t>
            </w:r>
          </w:p>
        </w:tc>
        <w:tc>
          <w:tcPr>
            <w:tcW w:w="1254" w:type="dxa"/>
            <w:shd w:val="clear" w:color="auto" w:fill="auto"/>
            <w:vAlign w:val="bottom"/>
          </w:tcPr>
          <w:p w14:paraId="25987EFB"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4,9</w:t>
            </w:r>
          </w:p>
        </w:tc>
        <w:tc>
          <w:tcPr>
            <w:tcW w:w="1254" w:type="dxa"/>
            <w:shd w:val="clear" w:color="auto" w:fill="auto"/>
            <w:vAlign w:val="bottom"/>
          </w:tcPr>
          <w:p w14:paraId="664C2186"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25,7</w:t>
            </w:r>
          </w:p>
        </w:tc>
        <w:tc>
          <w:tcPr>
            <w:tcW w:w="1255" w:type="dxa"/>
            <w:shd w:val="clear" w:color="auto" w:fill="auto"/>
            <w:vAlign w:val="bottom"/>
          </w:tcPr>
          <w:p w14:paraId="11AEF051"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36,0</w:t>
            </w:r>
          </w:p>
        </w:tc>
        <w:tc>
          <w:tcPr>
            <w:tcW w:w="1255" w:type="dxa"/>
            <w:shd w:val="clear" w:color="auto" w:fill="auto"/>
            <w:vAlign w:val="bottom"/>
          </w:tcPr>
          <w:p w14:paraId="7F4616B5"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11,8</w:t>
            </w:r>
          </w:p>
        </w:tc>
        <w:tc>
          <w:tcPr>
            <w:tcW w:w="1508" w:type="dxa"/>
            <w:shd w:val="clear" w:color="auto" w:fill="auto"/>
            <w:vAlign w:val="bottom"/>
          </w:tcPr>
          <w:p w14:paraId="3EE2224D"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21,7</w:t>
            </w:r>
          </w:p>
        </w:tc>
        <w:tc>
          <w:tcPr>
            <w:tcW w:w="877" w:type="dxa"/>
            <w:shd w:val="clear" w:color="auto" w:fill="auto"/>
            <w:vAlign w:val="bottom"/>
          </w:tcPr>
          <w:p w14:paraId="044ACA41"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21F51" w14:paraId="2A1063EB" w14:textId="77777777" w:rsidTr="00A63E81">
        <w:tc>
          <w:tcPr>
            <w:tcW w:w="2118" w:type="dxa"/>
            <w:shd w:val="clear" w:color="auto" w:fill="auto"/>
            <w:vAlign w:val="bottom"/>
          </w:tcPr>
          <w:p w14:paraId="127ECF0A" w14:textId="77777777" w:rsidR="00A63E81" w:rsidRPr="00A63E81" w:rsidRDefault="00A63E81" w:rsidP="006E3DC0">
            <w:pPr>
              <w:ind w:left="-5"/>
              <w:jc w:val="both"/>
              <w:rPr>
                <w:rFonts w:ascii="Times New Roman" w:eastAsia="Calibri" w:hAnsi="Times New Roman" w:cs="Times New Roman"/>
                <w:sz w:val="20"/>
                <w:szCs w:val="20"/>
              </w:rPr>
            </w:pPr>
            <w:r w:rsidRPr="00A63E81">
              <w:rPr>
                <w:rFonts w:ascii="Times New Roman" w:eastAsia="Calibri" w:hAnsi="Times New Roman" w:cs="Times New Roman"/>
                <w:sz w:val="20"/>
                <w:szCs w:val="20"/>
              </w:rPr>
              <w:t>Пособия и социальная помощь</w:t>
            </w:r>
          </w:p>
        </w:tc>
        <w:tc>
          <w:tcPr>
            <w:tcW w:w="1254" w:type="dxa"/>
            <w:tcBorders>
              <w:bottom w:val="single" w:sz="4" w:space="0" w:color="auto"/>
            </w:tcBorders>
            <w:shd w:val="clear" w:color="auto" w:fill="auto"/>
            <w:vAlign w:val="bottom"/>
          </w:tcPr>
          <w:p w14:paraId="25D97253"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4,7</w:t>
            </w:r>
          </w:p>
        </w:tc>
        <w:tc>
          <w:tcPr>
            <w:tcW w:w="1254" w:type="dxa"/>
            <w:tcBorders>
              <w:bottom w:val="single" w:sz="4" w:space="0" w:color="auto"/>
            </w:tcBorders>
            <w:shd w:val="clear" w:color="auto" w:fill="auto"/>
            <w:vAlign w:val="bottom"/>
          </w:tcPr>
          <w:p w14:paraId="22039CC4"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23,1</w:t>
            </w:r>
          </w:p>
        </w:tc>
        <w:tc>
          <w:tcPr>
            <w:tcW w:w="1255" w:type="dxa"/>
            <w:tcBorders>
              <w:bottom w:val="single" w:sz="4" w:space="0" w:color="auto"/>
            </w:tcBorders>
            <w:shd w:val="clear" w:color="auto" w:fill="auto"/>
            <w:vAlign w:val="bottom"/>
          </w:tcPr>
          <w:p w14:paraId="7FA1D108"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32,6</w:t>
            </w:r>
          </w:p>
        </w:tc>
        <w:tc>
          <w:tcPr>
            <w:tcW w:w="1255" w:type="dxa"/>
            <w:tcBorders>
              <w:bottom w:val="single" w:sz="4" w:space="0" w:color="auto"/>
            </w:tcBorders>
            <w:shd w:val="clear" w:color="auto" w:fill="auto"/>
            <w:vAlign w:val="bottom"/>
          </w:tcPr>
          <w:p w14:paraId="7DDD2B32"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10,8</w:t>
            </w:r>
          </w:p>
        </w:tc>
        <w:tc>
          <w:tcPr>
            <w:tcW w:w="1508" w:type="dxa"/>
            <w:tcBorders>
              <w:bottom w:val="single" w:sz="4" w:space="0" w:color="auto"/>
            </w:tcBorders>
            <w:shd w:val="clear" w:color="auto" w:fill="auto"/>
            <w:vAlign w:val="bottom"/>
          </w:tcPr>
          <w:p w14:paraId="28CF10C8"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28,8</w:t>
            </w:r>
          </w:p>
        </w:tc>
        <w:tc>
          <w:tcPr>
            <w:tcW w:w="877" w:type="dxa"/>
            <w:tcBorders>
              <w:bottom w:val="single" w:sz="4" w:space="0" w:color="auto"/>
            </w:tcBorders>
            <w:shd w:val="clear" w:color="auto" w:fill="auto"/>
            <w:vAlign w:val="bottom"/>
          </w:tcPr>
          <w:p w14:paraId="2AC386A0"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139A9" w14:paraId="3E6FF3D6" w14:textId="77777777" w:rsidTr="00A63E81">
        <w:tc>
          <w:tcPr>
            <w:tcW w:w="2118" w:type="dxa"/>
            <w:shd w:val="clear" w:color="auto" w:fill="auto"/>
            <w:vAlign w:val="bottom"/>
          </w:tcPr>
          <w:p w14:paraId="51D60643" w14:textId="77777777" w:rsidR="00A63E81" w:rsidRPr="00A63E81" w:rsidRDefault="00A63E81" w:rsidP="006E3DC0">
            <w:pPr>
              <w:ind w:left="-5"/>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 xml:space="preserve">Доходах от предпринимательской деятельности </w:t>
            </w:r>
          </w:p>
        </w:tc>
        <w:tc>
          <w:tcPr>
            <w:tcW w:w="1254" w:type="dxa"/>
            <w:tcBorders>
              <w:top w:val="single" w:sz="4" w:space="0" w:color="auto"/>
              <w:left w:val="nil"/>
              <w:bottom w:val="single" w:sz="4" w:space="0" w:color="auto"/>
              <w:right w:val="single" w:sz="4" w:space="0" w:color="auto"/>
            </w:tcBorders>
            <w:shd w:val="clear" w:color="auto" w:fill="auto"/>
            <w:vAlign w:val="bottom"/>
          </w:tcPr>
          <w:p w14:paraId="1ABB14A7"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4,6</w:t>
            </w:r>
          </w:p>
        </w:tc>
        <w:tc>
          <w:tcPr>
            <w:tcW w:w="1254" w:type="dxa"/>
            <w:tcBorders>
              <w:top w:val="single" w:sz="4" w:space="0" w:color="auto"/>
              <w:left w:val="single" w:sz="4" w:space="0" w:color="auto"/>
              <w:bottom w:val="single" w:sz="4" w:space="0" w:color="auto"/>
              <w:right w:val="single" w:sz="4" w:space="0" w:color="auto"/>
            </w:tcBorders>
            <w:shd w:val="clear" w:color="auto" w:fill="auto"/>
            <w:vAlign w:val="bottom"/>
          </w:tcPr>
          <w:p w14:paraId="16141C1E"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21,2</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tcPr>
          <w:p w14:paraId="1C876F63"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33,8</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bottom"/>
          </w:tcPr>
          <w:p w14:paraId="12C8DD31"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14,7</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bottom"/>
          </w:tcPr>
          <w:p w14:paraId="3EDA6B6E"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25,7</w:t>
            </w:r>
          </w:p>
        </w:tc>
        <w:tc>
          <w:tcPr>
            <w:tcW w:w="877" w:type="dxa"/>
            <w:tcBorders>
              <w:top w:val="single" w:sz="4" w:space="0" w:color="auto"/>
              <w:left w:val="single" w:sz="4" w:space="0" w:color="auto"/>
              <w:bottom w:val="single" w:sz="4" w:space="0" w:color="auto"/>
              <w:right w:val="single" w:sz="4" w:space="0" w:color="auto"/>
            </w:tcBorders>
            <w:shd w:val="clear" w:color="auto" w:fill="auto"/>
            <w:vAlign w:val="bottom"/>
          </w:tcPr>
          <w:p w14:paraId="5C583180" w14:textId="77777777" w:rsidR="00A63E81" w:rsidRPr="00A63E81" w:rsidRDefault="00A63E81" w:rsidP="006E3DC0">
            <w:pPr>
              <w:ind w:left="-5"/>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100</w:t>
            </w:r>
          </w:p>
        </w:tc>
      </w:tr>
      <w:tr w:rsidR="00A63E81" w:rsidRPr="00221F51" w14:paraId="7E51AFED" w14:textId="77777777" w:rsidTr="00A63E81">
        <w:tc>
          <w:tcPr>
            <w:tcW w:w="2118" w:type="dxa"/>
            <w:shd w:val="clear" w:color="auto" w:fill="auto"/>
            <w:vAlign w:val="bottom"/>
          </w:tcPr>
          <w:p w14:paraId="67EA27A4"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Населении</w:t>
            </w:r>
          </w:p>
        </w:tc>
        <w:tc>
          <w:tcPr>
            <w:tcW w:w="1254" w:type="dxa"/>
            <w:tcBorders>
              <w:top w:val="single" w:sz="4" w:space="0" w:color="auto"/>
            </w:tcBorders>
            <w:shd w:val="clear" w:color="auto" w:fill="auto"/>
            <w:vAlign w:val="bottom"/>
          </w:tcPr>
          <w:p w14:paraId="1CFFA2A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5,2</w:t>
            </w:r>
          </w:p>
        </w:tc>
        <w:tc>
          <w:tcPr>
            <w:tcW w:w="1254" w:type="dxa"/>
            <w:tcBorders>
              <w:top w:val="single" w:sz="4" w:space="0" w:color="auto"/>
            </w:tcBorders>
            <w:shd w:val="clear" w:color="auto" w:fill="auto"/>
            <w:vAlign w:val="bottom"/>
          </w:tcPr>
          <w:p w14:paraId="1610E0D4"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24,0</w:t>
            </w:r>
          </w:p>
        </w:tc>
        <w:tc>
          <w:tcPr>
            <w:tcW w:w="1255" w:type="dxa"/>
            <w:tcBorders>
              <w:top w:val="single" w:sz="4" w:space="0" w:color="auto"/>
            </w:tcBorders>
            <w:shd w:val="clear" w:color="auto" w:fill="auto"/>
            <w:vAlign w:val="bottom"/>
          </w:tcPr>
          <w:p w14:paraId="208DE2E9"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34,3</w:t>
            </w:r>
          </w:p>
        </w:tc>
        <w:tc>
          <w:tcPr>
            <w:tcW w:w="1255" w:type="dxa"/>
            <w:tcBorders>
              <w:top w:val="single" w:sz="4" w:space="0" w:color="auto"/>
            </w:tcBorders>
            <w:shd w:val="clear" w:color="auto" w:fill="auto"/>
            <w:vAlign w:val="bottom"/>
          </w:tcPr>
          <w:p w14:paraId="7E46B977"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11,5</w:t>
            </w:r>
          </w:p>
        </w:tc>
        <w:tc>
          <w:tcPr>
            <w:tcW w:w="1508" w:type="dxa"/>
            <w:tcBorders>
              <w:top w:val="single" w:sz="4" w:space="0" w:color="auto"/>
            </w:tcBorders>
            <w:shd w:val="clear" w:color="auto" w:fill="auto"/>
            <w:vAlign w:val="bottom"/>
          </w:tcPr>
          <w:p w14:paraId="7A460C9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25,1</w:t>
            </w:r>
          </w:p>
        </w:tc>
        <w:tc>
          <w:tcPr>
            <w:tcW w:w="877" w:type="dxa"/>
            <w:tcBorders>
              <w:top w:val="single" w:sz="4" w:space="0" w:color="auto"/>
            </w:tcBorders>
            <w:shd w:val="clear" w:color="auto" w:fill="auto"/>
            <w:vAlign w:val="bottom"/>
          </w:tcPr>
          <w:p w14:paraId="6C5E723E"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21F51" w14:paraId="5CCBA79E" w14:textId="77777777" w:rsidTr="00A63E81">
        <w:tc>
          <w:tcPr>
            <w:tcW w:w="2118" w:type="dxa"/>
            <w:shd w:val="clear" w:color="auto" w:fill="auto"/>
            <w:vAlign w:val="bottom"/>
          </w:tcPr>
          <w:p w14:paraId="1ED71D99" w14:textId="77777777" w:rsidR="00A63E81" w:rsidRPr="00A63E81" w:rsidRDefault="00A63E81" w:rsidP="006E3DC0">
            <w:pPr>
              <w:ind w:left="-5"/>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Занятых в экономике</w:t>
            </w:r>
          </w:p>
        </w:tc>
        <w:tc>
          <w:tcPr>
            <w:tcW w:w="1254" w:type="dxa"/>
            <w:shd w:val="clear" w:color="auto" w:fill="auto"/>
            <w:vAlign w:val="bottom"/>
          </w:tcPr>
          <w:p w14:paraId="3D972BDB"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4,4</w:t>
            </w:r>
          </w:p>
        </w:tc>
        <w:tc>
          <w:tcPr>
            <w:tcW w:w="1254" w:type="dxa"/>
            <w:shd w:val="clear" w:color="auto" w:fill="auto"/>
            <w:vAlign w:val="bottom"/>
          </w:tcPr>
          <w:p w14:paraId="6B7A5004"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21,7</w:t>
            </w:r>
          </w:p>
        </w:tc>
        <w:tc>
          <w:tcPr>
            <w:tcW w:w="1255" w:type="dxa"/>
            <w:shd w:val="clear" w:color="auto" w:fill="auto"/>
            <w:vAlign w:val="bottom"/>
          </w:tcPr>
          <w:p w14:paraId="4E5C9307"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32,2</w:t>
            </w:r>
          </w:p>
        </w:tc>
        <w:tc>
          <w:tcPr>
            <w:tcW w:w="1255" w:type="dxa"/>
            <w:shd w:val="clear" w:color="auto" w:fill="auto"/>
            <w:vAlign w:val="bottom"/>
          </w:tcPr>
          <w:p w14:paraId="50814AD5"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11,6</w:t>
            </w:r>
          </w:p>
        </w:tc>
        <w:tc>
          <w:tcPr>
            <w:tcW w:w="1508" w:type="dxa"/>
            <w:shd w:val="clear" w:color="auto" w:fill="auto"/>
            <w:vAlign w:val="bottom"/>
          </w:tcPr>
          <w:p w14:paraId="0B20BEAD"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30,1</w:t>
            </w:r>
          </w:p>
        </w:tc>
        <w:tc>
          <w:tcPr>
            <w:tcW w:w="877" w:type="dxa"/>
            <w:shd w:val="clear" w:color="auto" w:fill="auto"/>
            <w:vAlign w:val="bottom"/>
          </w:tcPr>
          <w:p w14:paraId="023F988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r w:rsidR="00A63E81" w:rsidRPr="00221F51" w14:paraId="44AC4B25" w14:textId="77777777" w:rsidTr="00A63E81">
        <w:tc>
          <w:tcPr>
            <w:tcW w:w="2118" w:type="dxa"/>
            <w:shd w:val="clear" w:color="auto" w:fill="auto"/>
            <w:vAlign w:val="bottom"/>
          </w:tcPr>
          <w:p w14:paraId="0BEA4F2A" w14:textId="77777777" w:rsidR="00A63E81" w:rsidRPr="00A63E81" w:rsidRDefault="00A63E81" w:rsidP="006E3DC0">
            <w:pPr>
              <w:ind w:left="-5"/>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Численности пенсионеров</w:t>
            </w:r>
          </w:p>
        </w:tc>
        <w:tc>
          <w:tcPr>
            <w:tcW w:w="1254" w:type="dxa"/>
            <w:shd w:val="clear" w:color="auto" w:fill="auto"/>
            <w:vAlign w:val="bottom"/>
          </w:tcPr>
          <w:p w14:paraId="36EBC4EB"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5,1</w:t>
            </w:r>
          </w:p>
        </w:tc>
        <w:tc>
          <w:tcPr>
            <w:tcW w:w="1254" w:type="dxa"/>
            <w:shd w:val="clear" w:color="auto" w:fill="auto"/>
            <w:vAlign w:val="bottom"/>
          </w:tcPr>
          <w:p w14:paraId="0DEE29DD"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25,0</w:t>
            </w:r>
          </w:p>
        </w:tc>
        <w:tc>
          <w:tcPr>
            <w:tcW w:w="1255" w:type="dxa"/>
            <w:shd w:val="clear" w:color="auto" w:fill="auto"/>
            <w:vAlign w:val="bottom"/>
          </w:tcPr>
          <w:p w14:paraId="04C8C97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35,2</w:t>
            </w:r>
          </w:p>
        </w:tc>
        <w:tc>
          <w:tcPr>
            <w:tcW w:w="1255" w:type="dxa"/>
            <w:shd w:val="clear" w:color="auto" w:fill="auto"/>
            <w:vAlign w:val="bottom"/>
          </w:tcPr>
          <w:p w14:paraId="25E6C82F"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12,0</w:t>
            </w:r>
          </w:p>
        </w:tc>
        <w:tc>
          <w:tcPr>
            <w:tcW w:w="1508" w:type="dxa"/>
            <w:shd w:val="clear" w:color="auto" w:fill="auto"/>
            <w:vAlign w:val="bottom"/>
          </w:tcPr>
          <w:p w14:paraId="219A6BA6"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22,7</w:t>
            </w:r>
          </w:p>
        </w:tc>
        <w:tc>
          <w:tcPr>
            <w:tcW w:w="877" w:type="dxa"/>
            <w:shd w:val="clear" w:color="auto" w:fill="auto"/>
            <w:vAlign w:val="bottom"/>
          </w:tcPr>
          <w:p w14:paraId="3C20781A" w14:textId="77777777" w:rsidR="00A63E81" w:rsidRPr="00A63E81" w:rsidRDefault="00A63E81" w:rsidP="006E3DC0">
            <w:pPr>
              <w:ind w:left="-5"/>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100</w:t>
            </w:r>
          </w:p>
        </w:tc>
      </w:tr>
    </w:tbl>
    <w:p w14:paraId="20CBB225" w14:textId="77777777" w:rsidR="00A63E81" w:rsidRPr="00A63E81" w:rsidRDefault="00A63E81" w:rsidP="00A63E81">
      <w:pPr>
        <w:spacing w:after="0" w:line="240" w:lineRule="auto"/>
        <w:ind w:left="360"/>
        <w:jc w:val="both"/>
        <w:rPr>
          <w:rFonts w:ascii="Times New Roman" w:eastAsia="Calibri" w:hAnsi="Times New Roman" w:cs="Times New Roman"/>
        </w:rPr>
      </w:pPr>
      <w:r w:rsidRPr="00A63E81">
        <w:rPr>
          <w:rFonts w:ascii="Times New Roman" w:eastAsia="Calibri" w:hAnsi="Times New Roman" w:cs="Times New Roman"/>
        </w:rPr>
        <w:t xml:space="preserve">*Средний по РФ показатель (руб.) </w:t>
      </w:r>
    </w:p>
    <w:p w14:paraId="417DF7E7"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Источник: расчеты ИНП РАН</w:t>
      </w:r>
    </w:p>
    <w:p w14:paraId="189C372E"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Близкими к среднероссийским оказываются среднедушевые доходы в четвертой </w:t>
      </w:r>
      <w:proofErr w:type="spellStart"/>
      <w:r w:rsidRPr="006E3DC0">
        <w:rPr>
          <w:rFonts w:ascii="Times New Roman" w:eastAsia="Calibri" w:hAnsi="Times New Roman" w:cs="Times New Roman"/>
          <w:sz w:val="28"/>
          <w:szCs w:val="28"/>
        </w:rPr>
        <w:t>децильной</w:t>
      </w:r>
      <w:proofErr w:type="spellEnd"/>
      <w:r w:rsidRPr="006E3DC0">
        <w:rPr>
          <w:rFonts w:ascii="Times New Roman" w:eastAsia="Calibri" w:hAnsi="Times New Roman" w:cs="Times New Roman"/>
          <w:sz w:val="28"/>
          <w:szCs w:val="28"/>
        </w:rPr>
        <w:t xml:space="preserve"> группе (± </w:t>
      </w:r>
      <w:proofErr w:type="gramStart"/>
      <w:r w:rsidRPr="006E3DC0">
        <w:rPr>
          <w:rFonts w:ascii="Times New Roman" w:eastAsia="Calibri" w:hAnsi="Times New Roman" w:cs="Times New Roman"/>
          <w:sz w:val="28"/>
          <w:szCs w:val="28"/>
        </w:rPr>
        <w:t>3-7</w:t>
      </w:r>
      <w:proofErr w:type="gramEnd"/>
      <w:r w:rsidRPr="006E3DC0">
        <w:rPr>
          <w:rFonts w:ascii="Times New Roman" w:eastAsia="Calibri" w:hAnsi="Times New Roman" w:cs="Times New Roman"/>
          <w:sz w:val="28"/>
          <w:szCs w:val="28"/>
        </w:rPr>
        <w:t>%), однако в этой группе находится лишь 8 регионов. Средняя заработная плата, пенсии находится на уровне предыдущей группы или даже ниже, преимущество в среднедушевых доходах обеспечивается за счет доходов от предпринимательской деятельности. Пособия и социальная помощь на душу населения также оказываются ниже среднероссийских. Данная группа по доле в населении (11,5%), численности занятых (11,6%) занимает относительно небольшой вес в суммарных показателях, по удельным показателям превосходит лишь первую группу.</w:t>
      </w:r>
    </w:p>
    <w:p w14:paraId="3BFDA685"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 6 верхних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со среднедушевыми доходами в интервале </w:t>
      </w:r>
      <w:proofErr w:type="gramStart"/>
      <w:r w:rsidRPr="006E3DC0">
        <w:rPr>
          <w:rFonts w:ascii="Times New Roman" w:eastAsia="Calibri" w:hAnsi="Times New Roman" w:cs="Times New Roman"/>
          <w:sz w:val="28"/>
          <w:szCs w:val="28"/>
        </w:rPr>
        <w:t>116-195</w:t>
      </w:r>
      <w:proofErr w:type="gramEnd"/>
      <w:r w:rsidRPr="006E3DC0">
        <w:rPr>
          <w:rFonts w:ascii="Times New Roman" w:eastAsia="Calibri" w:hAnsi="Times New Roman" w:cs="Times New Roman"/>
          <w:sz w:val="28"/>
          <w:szCs w:val="28"/>
        </w:rPr>
        <w:t xml:space="preserve">% от среднероссийского уровня вошли всего 11 регионов, в каждой группе находится 1-3 региона с доходами, существенно превосходящими среднероссийские, данные по ним приведены в агрегированном виде. Для верхних доходных групп характерно существенное превышение средних по стране показателей не только по доходам, но и по заработной   плате и социальным выплатам на душу населения. Средний уровень пенсий в группах с самыми высокими доходами не превышает средних по стране, душевые доходы от предпринимательской деятельности немного выше среднероссийских, хотя существенно ниже, чем в четвертой </w:t>
      </w:r>
      <w:proofErr w:type="spellStart"/>
      <w:r w:rsidRPr="006E3DC0">
        <w:rPr>
          <w:rFonts w:ascii="Times New Roman" w:eastAsia="Calibri" w:hAnsi="Times New Roman" w:cs="Times New Roman"/>
          <w:sz w:val="28"/>
          <w:szCs w:val="28"/>
        </w:rPr>
        <w:t>децильной</w:t>
      </w:r>
      <w:proofErr w:type="spellEnd"/>
      <w:r w:rsidRPr="006E3DC0">
        <w:rPr>
          <w:rFonts w:ascii="Times New Roman" w:eastAsia="Calibri" w:hAnsi="Times New Roman" w:cs="Times New Roman"/>
          <w:sz w:val="28"/>
          <w:szCs w:val="28"/>
        </w:rPr>
        <w:t xml:space="preserve"> группе. В регионах с самыми доходами проживает четверть российского населения, однако больше половины этого населения представлено Москвой и Московской областью. Помимо столичной агломерации и Санкт-Петербурга в группы с высокими доходами по данным за 2019 год входят сырьевые экспортно-ориентированные регионы, а также Свердловская область и Республика Татарстан. Характерной особенностью регионов с высокими доходами является концентрация в них доходов от собственности, на долю 11 регионов приходится 54% всех доходов от собственности, при этом на долю Москвы и Московской области – 40%.</w:t>
      </w:r>
    </w:p>
    <w:p w14:paraId="0CEA08BF"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Среднедушевые доходы в регионах, входящих в каждую из представленных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в силу различий в структуре получателей и среднего размера каждого из представленных видов доходов характеризуются разной эластичностью по отношению к их изменению (таблица Х.2).  </w:t>
      </w:r>
    </w:p>
    <w:p w14:paraId="095E455B" w14:textId="77777777" w:rsidR="00A63E81" w:rsidRPr="00A63E81" w:rsidRDefault="00A63E81" w:rsidP="00A63E81">
      <w:pPr>
        <w:spacing w:after="0" w:line="240" w:lineRule="auto"/>
        <w:ind w:left="360"/>
        <w:jc w:val="right"/>
        <w:rPr>
          <w:rFonts w:ascii="Times New Roman" w:eastAsia="Calibri" w:hAnsi="Times New Roman" w:cs="Times New Roman"/>
          <w:sz w:val="24"/>
          <w:szCs w:val="24"/>
        </w:rPr>
      </w:pPr>
      <w:r w:rsidRPr="00A63E81">
        <w:rPr>
          <w:rFonts w:ascii="Times New Roman" w:eastAsia="Calibri" w:hAnsi="Times New Roman" w:cs="Times New Roman"/>
          <w:sz w:val="24"/>
          <w:szCs w:val="24"/>
        </w:rPr>
        <w:t>Таблица Х.2</w:t>
      </w:r>
    </w:p>
    <w:p w14:paraId="00976FDB" w14:textId="77777777" w:rsidR="00A63E81" w:rsidRPr="00A63E81" w:rsidRDefault="00A63E81" w:rsidP="00A63E81">
      <w:pPr>
        <w:spacing w:after="0" w:line="240" w:lineRule="auto"/>
        <w:ind w:left="360"/>
        <w:jc w:val="center"/>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Прирост среднедушевых денежных доходов в соответствующей </w:t>
      </w:r>
      <w:proofErr w:type="spellStart"/>
      <w:r w:rsidRPr="00A63E81">
        <w:rPr>
          <w:rFonts w:ascii="Times New Roman" w:eastAsia="Calibri" w:hAnsi="Times New Roman" w:cs="Times New Roman"/>
          <w:sz w:val="24"/>
          <w:szCs w:val="24"/>
        </w:rPr>
        <w:t>децильной</w:t>
      </w:r>
      <w:proofErr w:type="spellEnd"/>
      <w:r w:rsidRPr="00A63E81">
        <w:rPr>
          <w:rFonts w:ascii="Times New Roman" w:eastAsia="Calibri" w:hAnsi="Times New Roman" w:cs="Times New Roman"/>
          <w:sz w:val="24"/>
          <w:szCs w:val="24"/>
        </w:rPr>
        <w:t xml:space="preserve"> группе и в целом по РФ (в %) при увеличении среднего размера заработной платы, пенсии, среднедушевых пособий и социальной помощи и доходов от предпринимательской деятельности на 1%</w:t>
      </w:r>
    </w:p>
    <w:p w14:paraId="4CAAD616"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p>
    <w:tbl>
      <w:tblPr>
        <w:tblStyle w:val="ae"/>
        <w:tblW w:w="9662" w:type="dxa"/>
        <w:tblLayout w:type="fixed"/>
        <w:tblLook w:val="04A0" w:firstRow="1" w:lastRow="0" w:firstColumn="1" w:lastColumn="0" w:noHBand="0" w:noVBand="1"/>
      </w:tblPr>
      <w:tblGrid>
        <w:gridCol w:w="1129"/>
        <w:gridCol w:w="1134"/>
        <w:gridCol w:w="993"/>
        <w:gridCol w:w="1134"/>
        <w:gridCol w:w="992"/>
        <w:gridCol w:w="1134"/>
        <w:gridCol w:w="992"/>
        <w:gridCol w:w="1134"/>
        <w:gridCol w:w="1020"/>
      </w:tblGrid>
      <w:tr w:rsidR="00A63E81" w:rsidRPr="008F2ADA" w14:paraId="56C1644E" w14:textId="77777777" w:rsidTr="00A63E81">
        <w:tc>
          <w:tcPr>
            <w:tcW w:w="1129" w:type="dxa"/>
            <w:vMerge w:val="restart"/>
            <w:shd w:val="clear" w:color="auto" w:fill="auto"/>
          </w:tcPr>
          <w:p w14:paraId="50E3E64E" w14:textId="77777777" w:rsidR="00A63E81" w:rsidRPr="00A63E81" w:rsidRDefault="00A63E81" w:rsidP="0015778E">
            <w:pPr>
              <w:jc w:val="both"/>
              <w:rPr>
                <w:rFonts w:ascii="Times New Roman" w:eastAsia="Calibri" w:hAnsi="Times New Roman" w:cs="Times New Roman"/>
                <w:sz w:val="20"/>
                <w:szCs w:val="20"/>
              </w:rPr>
            </w:pPr>
            <w:r w:rsidRPr="00A63E81">
              <w:rPr>
                <w:rFonts w:ascii="Times New Roman" w:eastAsia="Calibri" w:hAnsi="Times New Roman" w:cs="Times New Roman"/>
                <w:sz w:val="20"/>
                <w:szCs w:val="20"/>
              </w:rPr>
              <w:t>Дециль-</w:t>
            </w:r>
            <w:proofErr w:type="spellStart"/>
            <w:r w:rsidRPr="00A63E81">
              <w:rPr>
                <w:rFonts w:ascii="Times New Roman" w:eastAsia="Calibri" w:hAnsi="Times New Roman" w:cs="Times New Roman"/>
                <w:sz w:val="20"/>
                <w:szCs w:val="20"/>
              </w:rPr>
              <w:t>ные</w:t>
            </w:r>
            <w:proofErr w:type="spellEnd"/>
            <w:r w:rsidRPr="00A63E81">
              <w:rPr>
                <w:rFonts w:ascii="Times New Roman" w:eastAsia="Calibri" w:hAnsi="Times New Roman" w:cs="Times New Roman"/>
                <w:sz w:val="20"/>
                <w:szCs w:val="20"/>
              </w:rPr>
              <w:t xml:space="preserve"> группы</w:t>
            </w:r>
          </w:p>
        </w:tc>
        <w:tc>
          <w:tcPr>
            <w:tcW w:w="2127" w:type="dxa"/>
            <w:gridSpan w:val="2"/>
            <w:shd w:val="clear" w:color="auto" w:fill="auto"/>
          </w:tcPr>
          <w:p w14:paraId="52071B3F" w14:textId="77777777" w:rsidR="00A63E81" w:rsidRPr="00A63E81" w:rsidRDefault="00A63E81" w:rsidP="0015778E">
            <w:pPr>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заработной платы в соответствующей группе</w:t>
            </w:r>
          </w:p>
        </w:tc>
        <w:tc>
          <w:tcPr>
            <w:tcW w:w="2126" w:type="dxa"/>
            <w:gridSpan w:val="2"/>
            <w:shd w:val="clear" w:color="auto" w:fill="auto"/>
          </w:tcPr>
          <w:p w14:paraId="75AD22B7" w14:textId="77777777" w:rsidR="00A63E81" w:rsidRPr="00A63E81" w:rsidRDefault="00A63E81" w:rsidP="0015778E">
            <w:pPr>
              <w:rPr>
                <w:rFonts w:ascii="Times New Roman" w:eastAsia="Calibri" w:hAnsi="Times New Roman" w:cs="Times New Roman"/>
                <w:sz w:val="20"/>
                <w:szCs w:val="20"/>
              </w:rPr>
            </w:pPr>
            <w:r w:rsidRPr="00A63E81">
              <w:rPr>
                <w:rFonts w:ascii="Times New Roman" w:eastAsia="Calibri" w:hAnsi="Times New Roman" w:cs="Times New Roman"/>
                <w:sz w:val="20"/>
                <w:szCs w:val="20"/>
              </w:rPr>
              <w:t xml:space="preserve">Прирост пенсии в соответствующей группе </w:t>
            </w:r>
          </w:p>
        </w:tc>
        <w:tc>
          <w:tcPr>
            <w:tcW w:w="2126" w:type="dxa"/>
            <w:gridSpan w:val="2"/>
            <w:shd w:val="clear" w:color="auto" w:fill="auto"/>
          </w:tcPr>
          <w:p w14:paraId="0E19B6BA" w14:textId="77777777" w:rsidR="00A63E81" w:rsidRPr="00A63E81" w:rsidRDefault="00A63E81" w:rsidP="0015778E">
            <w:pPr>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пособий и социальной помощи в соответствующей группе</w:t>
            </w:r>
          </w:p>
        </w:tc>
        <w:tc>
          <w:tcPr>
            <w:tcW w:w="2154" w:type="dxa"/>
            <w:gridSpan w:val="2"/>
          </w:tcPr>
          <w:p w14:paraId="0B83B4F2" w14:textId="77777777" w:rsidR="00A63E81" w:rsidRPr="00A63E81" w:rsidRDefault="00A63E81" w:rsidP="0015778E">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Прирост доходов от предпринимательской деятельности в соответствующей группе</w:t>
            </w:r>
          </w:p>
        </w:tc>
      </w:tr>
      <w:tr w:rsidR="00A63E81" w:rsidRPr="0049561A" w14:paraId="73F01295" w14:textId="77777777" w:rsidTr="00A63E81">
        <w:tc>
          <w:tcPr>
            <w:tcW w:w="1129" w:type="dxa"/>
            <w:vMerge/>
            <w:tcBorders>
              <w:bottom w:val="single" w:sz="4" w:space="0" w:color="auto"/>
            </w:tcBorders>
            <w:shd w:val="clear" w:color="auto" w:fill="auto"/>
            <w:vAlign w:val="bottom"/>
          </w:tcPr>
          <w:p w14:paraId="5431ED9C" w14:textId="77777777" w:rsidR="00A63E81" w:rsidRPr="00A63E81" w:rsidRDefault="00A63E81" w:rsidP="0015778E">
            <w:pPr>
              <w:jc w:val="both"/>
              <w:rPr>
                <w:rFonts w:ascii="Times New Roman" w:eastAsia="Calibri" w:hAnsi="Times New Roman" w:cs="Times New Roman"/>
                <w:sz w:val="20"/>
                <w:szCs w:val="20"/>
              </w:rPr>
            </w:pPr>
          </w:p>
        </w:tc>
        <w:tc>
          <w:tcPr>
            <w:tcW w:w="1134" w:type="dxa"/>
            <w:tcBorders>
              <w:bottom w:val="single" w:sz="4" w:space="0" w:color="auto"/>
            </w:tcBorders>
            <w:shd w:val="clear" w:color="auto" w:fill="auto"/>
          </w:tcPr>
          <w:p w14:paraId="1A755B62"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соответствующей группе</w:t>
            </w:r>
          </w:p>
        </w:tc>
        <w:tc>
          <w:tcPr>
            <w:tcW w:w="993" w:type="dxa"/>
            <w:tcBorders>
              <w:bottom w:val="single" w:sz="4" w:space="0" w:color="auto"/>
            </w:tcBorders>
            <w:shd w:val="clear" w:color="auto" w:fill="auto"/>
          </w:tcPr>
          <w:p w14:paraId="233F6CAF"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стране в целом</w:t>
            </w:r>
          </w:p>
        </w:tc>
        <w:tc>
          <w:tcPr>
            <w:tcW w:w="1134" w:type="dxa"/>
            <w:tcBorders>
              <w:bottom w:val="single" w:sz="4" w:space="0" w:color="auto"/>
            </w:tcBorders>
            <w:shd w:val="clear" w:color="auto" w:fill="auto"/>
          </w:tcPr>
          <w:p w14:paraId="53394440"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соответствующей группе</w:t>
            </w:r>
          </w:p>
        </w:tc>
        <w:tc>
          <w:tcPr>
            <w:tcW w:w="992" w:type="dxa"/>
            <w:tcBorders>
              <w:bottom w:val="single" w:sz="4" w:space="0" w:color="auto"/>
            </w:tcBorders>
            <w:shd w:val="clear" w:color="auto" w:fill="auto"/>
          </w:tcPr>
          <w:p w14:paraId="56FC1A73"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стране в целом</w:t>
            </w:r>
          </w:p>
        </w:tc>
        <w:tc>
          <w:tcPr>
            <w:tcW w:w="1134" w:type="dxa"/>
            <w:tcBorders>
              <w:bottom w:val="single" w:sz="4" w:space="0" w:color="auto"/>
            </w:tcBorders>
            <w:shd w:val="clear" w:color="auto" w:fill="auto"/>
          </w:tcPr>
          <w:p w14:paraId="208F8765"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соответствующей группе</w:t>
            </w:r>
          </w:p>
        </w:tc>
        <w:tc>
          <w:tcPr>
            <w:tcW w:w="992" w:type="dxa"/>
            <w:tcBorders>
              <w:bottom w:val="single" w:sz="4" w:space="0" w:color="auto"/>
            </w:tcBorders>
            <w:shd w:val="clear" w:color="auto" w:fill="auto"/>
          </w:tcPr>
          <w:p w14:paraId="3D49EA75" w14:textId="77777777" w:rsidR="00A63E81" w:rsidRPr="00A63E81" w:rsidRDefault="00A63E81" w:rsidP="0015778E">
            <w:pPr>
              <w:jc w:val="right"/>
              <w:rPr>
                <w:rFonts w:ascii="Times New Roman" w:eastAsia="Calibri" w:hAnsi="Times New Roman" w:cs="Times New Roman"/>
                <w:sz w:val="20"/>
                <w:szCs w:val="20"/>
              </w:rPr>
            </w:pPr>
            <w:r w:rsidRPr="00A63E81">
              <w:rPr>
                <w:rFonts w:ascii="Times New Roman" w:eastAsia="Calibri" w:hAnsi="Times New Roman" w:cs="Times New Roman"/>
                <w:sz w:val="20"/>
                <w:szCs w:val="20"/>
              </w:rPr>
              <w:t>Прирост доходов в стране в целом</w:t>
            </w:r>
          </w:p>
        </w:tc>
        <w:tc>
          <w:tcPr>
            <w:tcW w:w="1134" w:type="dxa"/>
            <w:tcBorders>
              <w:bottom w:val="single" w:sz="4" w:space="0" w:color="auto"/>
            </w:tcBorders>
            <w:shd w:val="clear" w:color="auto" w:fill="auto"/>
          </w:tcPr>
          <w:p w14:paraId="57B47041"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eastAsia="Calibri" w:hAnsi="Times New Roman" w:cs="Times New Roman"/>
                <w:sz w:val="20"/>
                <w:szCs w:val="20"/>
              </w:rPr>
              <w:t>Прирост доходов в соответствующей группе</w:t>
            </w:r>
          </w:p>
        </w:tc>
        <w:tc>
          <w:tcPr>
            <w:tcW w:w="1020" w:type="dxa"/>
            <w:tcBorders>
              <w:bottom w:val="single" w:sz="4" w:space="0" w:color="auto"/>
            </w:tcBorders>
            <w:shd w:val="clear" w:color="auto" w:fill="auto"/>
          </w:tcPr>
          <w:p w14:paraId="40436114"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eastAsia="Calibri" w:hAnsi="Times New Roman" w:cs="Times New Roman"/>
                <w:sz w:val="20"/>
                <w:szCs w:val="20"/>
              </w:rPr>
              <w:t>Прирост доходов в стране в целом</w:t>
            </w:r>
          </w:p>
        </w:tc>
      </w:tr>
      <w:tr w:rsidR="00A63E81" w:rsidRPr="00221F51" w14:paraId="7E9C5F33"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C05C18F" w14:textId="77777777" w:rsidR="00A63E81" w:rsidRPr="00A63E81" w:rsidRDefault="00A63E81" w:rsidP="0015778E">
            <w:pPr>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3DF664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0,625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0C63E87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FDA174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0,179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CBC479A"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E13B0FD"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479D624"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1190336"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0,082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79D0A2F"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0,003</w:t>
            </w:r>
          </w:p>
        </w:tc>
      </w:tr>
      <w:tr w:rsidR="00A63E81" w:rsidRPr="00221F51" w14:paraId="588AB707"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FFD1539" w14:textId="77777777" w:rsidR="00A63E81" w:rsidRPr="00A63E81" w:rsidRDefault="00A63E81" w:rsidP="0015778E">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B24028D"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0,605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F82A2B4"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0,115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1A8B82C"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0,169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0AE2F4D"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59631B"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0,054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13BE8B7"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25B6927"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0,068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37DDF19C"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0,013</w:t>
            </w:r>
          </w:p>
        </w:tc>
      </w:tr>
      <w:tr w:rsidR="00A63E81" w:rsidRPr="00221F51" w14:paraId="5397FB5D"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5C9C5AB6" w14:textId="77777777" w:rsidR="00A63E81" w:rsidRPr="00A63E81" w:rsidRDefault="00A63E81" w:rsidP="0015778E">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550E9C8"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0,588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C258C8D"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0,185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78DD079"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0,143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6835DDD"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8B4D20F"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BEB5D12"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F5E4A4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0,066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5F54CF0C"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0,021</w:t>
            </w:r>
          </w:p>
        </w:tc>
      </w:tr>
      <w:tr w:rsidR="00A63E81" w:rsidRPr="00221F51" w14:paraId="07D5548F"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0893103B" w14:textId="77777777" w:rsidR="00A63E81" w:rsidRPr="00A63E81" w:rsidRDefault="00A63E81" w:rsidP="0015778E">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CE25B10"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0,537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62CC2E0E"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E0FC699"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0,124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E42AA8E"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E95F4A8"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9D7C087"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3501B94F"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0,075</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1E2EE35E"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0,009</w:t>
            </w:r>
          </w:p>
        </w:tc>
      </w:tr>
      <w:tr w:rsidR="00A63E81" w:rsidRPr="00221F51" w14:paraId="2E9C931B"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1E19A966" w14:textId="77777777" w:rsidR="00A63E81" w:rsidRPr="00A63E81" w:rsidRDefault="00A63E81" w:rsidP="0015778E">
            <w:pPr>
              <w:jc w:val="both"/>
              <w:rPr>
                <w:rFonts w:ascii="Times New Roman" w:eastAsia="Calibri" w:hAnsi="Times New Roman" w:cs="Times New Roman"/>
                <w:sz w:val="20"/>
                <w:szCs w:val="20"/>
              </w:rPr>
            </w:pPr>
            <w:r w:rsidRPr="00A63E81">
              <w:rPr>
                <w:rFonts w:ascii="Times New Roman" w:hAnsi="Times New Roman" w:cs="Times New Roman"/>
                <w:color w:val="000000"/>
                <w:sz w:val="20"/>
                <w:szCs w:val="20"/>
              </w:rPr>
              <w:t>5-10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984716A"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0,738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48FFD4A9"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0,252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98E397A"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3FCE3F"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2AD800F5"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A98814" w14:textId="77777777" w:rsidR="00A63E81" w:rsidRPr="00A63E81" w:rsidRDefault="00A63E81" w:rsidP="0015778E">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0,013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71D63DA8"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0,046</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308406E"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0,016</w:t>
            </w:r>
          </w:p>
        </w:tc>
      </w:tr>
      <w:tr w:rsidR="00A63E81" w:rsidRPr="002E3B70" w14:paraId="168DCEB3" w14:textId="77777777" w:rsidTr="00A63E81">
        <w:tc>
          <w:tcPr>
            <w:tcW w:w="1129" w:type="dxa"/>
            <w:tcBorders>
              <w:top w:val="single" w:sz="4" w:space="0" w:color="auto"/>
              <w:left w:val="single" w:sz="4" w:space="0" w:color="auto"/>
              <w:bottom w:val="single" w:sz="4" w:space="0" w:color="auto"/>
              <w:right w:val="single" w:sz="4" w:space="0" w:color="auto"/>
            </w:tcBorders>
            <w:shd w:val="clear" w:color="auto" w:fill="auto"/>
            <w:vAlign w:val="bottom"/>
          </w:tcPr>
          <w:p w14:paraId="47C42FCD" w14:textId="77777777" w:rsidR="00A63E81" w:rsidRPr="00A63E81" w:rsidRDefault="00A63E81" w:rsidP="0015778E">
            <w:pPr>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В целом по РФ</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C6A9FC4"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0,638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180094E"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0,638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7F1CCC8"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0,126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249C72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0,126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6A33B4"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4E68FE"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71EA1A1"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0,061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bottom"/>
          </w:tcPr>
          <w:p w14:paraId="4D2B70A9" w14:textId="77777777" w:rsidR="00A63E81" w:rsidRPr="00A63E81" w:rsidRDefault="00A63E81" w:rsidP="0015778E">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0,061</w:t>
            </w:r>
          </w:p>
        </w:tc>
      </w:tr>
    </w:tbl>
    <w:p w14:paraId="593F718F"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p>
    <w:p w14:paraId="71F44E31"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Источник: расчеты ИНП РАН</w:t>
      </w:r>
    </w:p>
    <w:p w14:paraId="4468A66F"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Увеличение среднего размера заработной платы на 1% позволяет увеличить среднедушевые денежные доходы населения страны на 0,638%. Наиболее чувствительны к изменению заработной платы оказываются доходы населения в регионах первой и последних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В регионах с высокими доходами, где заработная плата почти на треть выше среднероссийской, дополнительный прирост заработной платы на 1% увеличивает среднедушевые доходы в группах </w:t>
      </w:r>
      <w:proofErr w:type="gramStart"/>
      <w:r w:rsidRPr="006E3DC0">
        <w:rPr>
          <w:rFonts w:ascii="Times New Roman" w:eastAsia="Calibri" w:hAnsi="Times New Roman" w:cs="Times New Roman"/>
          <w:sz w:val="28"/>
          <w:szCs w:val="28"/>
        </w:rPr>
        <w:t>5-10</w:t>
      </w:r>
      <w:proofErr w:type="gramEnd"/>
      <w:r w:rsidRPr="006E3DC0">
        <w:rPr>
          <w:rFonts w:ascii="Times New Roman" w:eastAsia="Calibri" w:hAnsi="Times New Roman" w:cs="Times New Roman"/>
          <w:sz w:val="28"/>
          <w:szCs w:val="28"/>
        </w:rPr>
        <w:t xml:space="preserve"> на 0,738%, а в целом по стране на 0,252%. В первой группе с минимальными доходами, в которой средняя заработная плата составляет лишь 76% от российского уровня, прирост средней заработной платы на 1% приводит к росту доходов в группе на 0,625%, однако практически не оказывает влияния на среднероссийский уровень доходов. </w:t>
      </w:r>
    </w:p>
    <w:p w14:paraId="7DC5DB3E"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Следующим по степени влияния на показатели среднедушевых доходов источником доходов являются пенсии. Рост среднего размера пенсий на 1% увеличивает среднедушевые доходы на 0,126%. Наибольшим прирост доходов при увеличении пенсий оказывается в первой и второй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группах, соответственно 0,179% и 0,169%, с позиции прироста среднедушевых доходов населения страны наибольший вклад может внести увеличение пенсий в 3 и 2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группах.   </w:t>
      </w:r>
    </w:p>
    <w:p w14:paraId="2A78E172"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Вклад в прирост среднедушевых доходов для страны в целом увеличения социальных выплат невелик, однако для отдельных групп регионов, прежде всего с низкими доходами, он заметен. </w:t>
      </w:r>
    </w:p>
    <w:p w14:paraId="7A6D9911"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Прирост среднедушевых доходов за счет роста доходов от предпринимательской деятельности на 1% составляет 0,061%, более чем треть его обеспечивается в регионах третьей </w:t>
      </w:r>
      <w:proofErr w:type="spellStart"/>
      <w:r w:rsidRPr="006E3DC0">
        <w:rPr>
          <w:rFonts w:ascii="Times New Roman" w:eastAsia="Calibri" w:hAnsi="Times New Roman" w:cs="Times New Roman"/>
          <w:sz w:val="28"/>
          <w:szCs w:val="28"/>
        </w:rPr>
        <w:t>децильной</w:t>
      </w:r>
      <w:proofErr w:type="spellEnd"/>
      <w:r w:rsidRPr="006E3DC0">
        <w:rPr>
          <w:rFonts w:ascii="Times New Roman" w:eastAsia="Calibri" w:hAnsi="Times New Roman" w:cs="Times New Roman"/>
          <w:sz w:val="28"/>
          <w:szCs w:val="28"/>
        </w:rPr>
        <w:t xml:space="preserve"> группы. Наименьшее влияние на среднедушевые доходы оказывает рост предпринимательского дохода в наиболее богатых регионах, в структуре доходов которых доминируют другие источники.</w:t>
      </w:r>
    </w:p>
    <w:p w14:paraId="59962C64"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Распределение доходов между разными группами регионов является важнейшим фактором, определяющим емкость региональных потребительских рынков, ограничения и возможности роста потребительского спроса в регионах.</w:t>
      </w:r>
    </w:p>
    <w:p w14:paraId="7131E50C"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Потребительские расходы составляют по России 80,8% от среднедушевых денежных доходов, этот показатель меньше только в самой нижней и верхних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группах регионов (таблица Х.3). В первом случае потребительские расходы минимальны именно в силу низких доходов населения, во втором случае население тратит на текущее потребление меньшую долю своих доходов именно потому, что доходы достаточно высоки. При этом абсолютные суммы среднедушевых потребительских расходов в богатых регионах более чем в 2 раза превышают потребительские расходы в первой </w:t>
      </w:r>
      <w:proofErr w:type="spellStart"/>
      <w:r w:rsidRPr="006E3DC0">
        <w:rPr>
          <w:rFonts w:ascii="Times New Roman" w:eastAsia="Calibri" w:hAnsi="Times New Roman" w:cs="Times New Roman"/>
          <w:sz w:val="28"/>
          <w:szCs w:val="28"/>
        </w:rPr>
        <w:t>децильной</w:t>
      </w:r>
      <w:proofErr w:type="spellEnd"/>
      <w:r w:rsidRPr="006E3DC0">
        <w:rPr>
          <w:rFonts w:ascii="Times New Roman" w:eastAsia="Calibri" w:hAnsi="Times New Roman" w:cs="Times New Roman"/>
          <w:sz w:val="28"/>
          <w:szCs w:val="28"/>
        </w:rPr>
        <w:t xml:space="preserve"> группе. </w:t>
      </w:r>
    </w:p>
    <w:p w14:paraId="222CECB4" w14:textId="77777777" w:rsidR="00A63E81" w:rsidRPr="00A63E81" w:rsidRDefault="00A63E81" w:rsidP="00A63E81">
      <w:pPr>
        <w:spacing w:after="0" w:line="240" w:lineRule="auto"/>
        <w:ind w:left="360"/>
        <w:jc w:val="right"/>
        <w:rPr>
          <w:rFonts w:ascii="Times New Roman" w:eastAsia="Calibri" w:hAnsi="Times New Roman" w:cs="Times New Roman"/>
          <w:sz w:val="24"/>
          <w:szCs w:val="24"/>
        </w:rPr>
      </w:pPr>
      <w:r w:rsidRPr="00A63E81">
        <w:rPr>
          <w:rFonts w:ascii="Times New Roman" w:eastAsia="Calibri" w:hAnsi="Times New Roman" w:cs="Times New Roman"/>
          <w:sz w:val="24"/>
          <w:szCs w:val="24"/>
        </w:rPr>
        <w:t>Таблица Х.3</w:t>
      </w:r>
    </w:p>
    <w:p w14:paraId="30818C3C"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Структура потребительских расходов по </w:t>
      </w:r>
      <w:proofErr w:type="spellStart"/>
      <w:r w:rsidRPr="00A63E81">
        <w:rPr>
          <w:rFonts w:ascii="Times New Roman" w:eastAsia="Calibri" w:hAnsi="Times New Roman" w:cs="Times New Roman"/>
          <w:sz w:val="24"/>
          <w:szCs w:val="24"/>
        </w:rPr>
        <w:t>децильным</w:t>
      </w:r>
      <w:proofErr w:type="spellEnd"/>
      <w:r w:rsidRPr="00A63E81">
        <w:rPr>
          <w:rFonts w:ascii="Times New Roman" w:eastAsia="Calibri" w:hAnsi="Times New Roman" w:cs="Times New Roman"/>
          <w:sz w:val="24"/>
          <w:szCs w:val="24"/>
        </w:rPr>
        <w:t xml:space="preserve"> группам регионов в 2019 г.</w:t>
      </w:r>
    </w:p>
    <w:p w14:paraId="74EDA147"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r w:rsidRPr="00A63E81">
        <w:rPr>
          <w:rFonts w:ascii="Times New Roman" w:eastAsia="Calibri" w:hAnsi="Times New Roman" w:cs="Times New Roman"/>
          <w:sz w:val="24"/>
          <w:szCs w:val="24"/>
        </w:rPr>
        <w:t xml:space="preserve"> </w:t>
      </w:r>
    </w:p>
    <w:tbl>
      <w:tblPr>
        <w:tblStyle w:val="ae"/>
        <w:tblW w:w="9634" w:type="dxa"/>
        <w:tblLayout w:type="fixed"/>
        <w:tblLook w:val="04A0" w:firstRow="1" w:lastRow="0" w:firstColumn="1" w:lastColumn="0" w:noHBand="0" w:noVBand="1"/>
      </w:tblPr>
      <w:tblGrid>
        <w:gridCol w:w="988"/>
        <w:gridCol w:w="1417"/>
        <w:gridCol w:w="992"/>
        <w:gridCol w:w="993"/>
        <w:gridCol w:w="992"/>
        <w:gridCol w:w="850"/>
        <w:gridCol w:w="851"/>
        <w:gridCol w:w="709"/>
        <w:gridCol w:w="992"/>
        <w:gridCol w:w="850"/>
      </w:tblGrid>
      <w:tr w:rsidR="00A63E81" w:rsidRPr="00221F51" w14:paraId="2AC4FB86" w14:textId="77777777" w:rsidTr="00A63E81">
        <w:tc>
          <w:tcPr>
            <w:tcW w:w="988" w:type="dxa"/>
            <w:vMerge w:val="restart"/>
            <w:tcBorders>
              <w:top w:val="single" w:sz="4" w:space="0" w:color="auto"/>
              <w:left w:val="single" w:sz="4" w:space="0" w:color="auto"/>
              <w:right w:val="single" w:sz="4" w:space="0" w:color="auto"/>
            </w:tcBorders>
            <w:shd w:val="clear" w:color="auto" w:fill="auto"/>
          </w:tcPr>
          <w:p w14:paraId="5B510592" w14:textId="77777777" w:rsidR="00A63E81" w:rsidRPr="00A63E81" w:rsidRDefault="00A63E81" w:rsidP="006E3DC0">
            <w:pPr>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Дециль-</w:t>
            </w:r>
            <w:proofErr w:type="spellStart"/>
            <w:r w:rsidRPr="00A63E81">
              <w:rPr>
                <w:rFonts w:ascii="Times New Roman" w:hAnsi="Times New Roman" w:cs="Times New Roman"/>
                <w:color w:val="000000"/>
                <w:sz w:val="20"/>
                <w:szCs w:val="20"/>
              </w:rPr>
              <w:t>ные</w:t>
            </w:r>
            <w:proofErr w:type="spellEnd"/>
            <w:r w:rsidRPr="00A63E81">
              <w:rPr>
                <w:rFonts w:ascii="Times New Roman" w:hAnsi="Times New Roman" w:cs="Times New Roman"/>
                <w:color w:val="000000"/>
                <w:sz w:val="20"/>
                <w:szCs w:val="20"/>
              </w:rPr>
              <w:t xml:space="preserve"> группы</w:t>
            </w:r>
          </w:p>
        </w:tc>
        <w:tc>
          <w:tcPr>
            <w:tcW w:w="1417" w:type="dxa"/>
            <w:vMerge w:val="restart"/>
            <w:tcBorders>
              <w:top w:val="single" w:sz="4" w:space="0" w:color="auto"/>
              <w:left w:val="single" w:sz="4" w:space="0" w:color="auto"/>
              <w:right w:val="single" w:sz="4" w:space="0" w:color="auto"/>
            </w:tcBorders>
            <w:shd w:val="clear" w:color="auto" w:fill="auto"/>
          </w:tcPr>
          <w:p w14:paraId="4E4F97B7"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 xml:space="preserve">Отношение среднедушевых потребительских расходов к денежным доходам населения </w:t>
            </w:r>
          </w:p>
        </w:tc>
        <w:tc>
          <w:tcPr>
            <w:tcW w:w="992" w:type="dxa"/>
            <w:vMerge w:val="restart"/>
            <w:tcBorders>
              <w:top w:val="single" w:sz="4" w:space="0" w:color="auto"/>
              <w:left w:val="single" w:sz="4" w:space="0" w:color="auto"/>
              <w:right w:val="single" w:sz="4" w:space="0" w:color="auto"/>
            </w:tcBorders>
            <w:shd w:val="clear" w:color="auto" w:fill="auto"/>
          </w:tcPr>
          <w:p w14:paraId="5E7C33FA"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Среднедушевые потребительские расходов к средним по РФ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5DE2D842"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Доля расходов по группам на:</w:t>
            </w:r>
          </w:p>
        </w:tc>
        <w:tc>
          <w:tcPr>
            <w:tcW w:w="851" w:type="dxa"/>
            <w:vMerge w:val="restart"/>
            <w:tcBorders>
              <w:top w:val="single" w:sz="4" w:space="0" w:color="auto"/>
              <w:left w:val="single" w:sz="4" w:space="0" w:color="auto"/>
              <w:right w:val="single" w:sz="4" w:space="0" w:color="auto"/>
            </w:tcBorders>
          </w:tcPr>
          <w:p w14:paraId="628F3F08"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Структура потребительских расходов</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tcPr>
          <w:p w14:paraId="2C71F4B1"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Структура расходов на:</w:t>
            </w:r>
          </w:p>
        </w:tc>
      </w:tr>
      <w:tr w:rsidR="00A63E81" w:rsidRPr="00221F51" w14:paraId="01CCE146" w14:textId="77777777" w:rsidTr="00A63E81">
        <w:tc>
          <w:tcPr>
            <w:tcW w:w="988" w:type="dxa"/>
            <w:vMerge/>
            <w:tcBorders>
              <w:left w:val="single" w:sz="4" w:space="0" w:color="auto"/>
              <w:bottom w:val="single" w:sz="4" w:space="0" w:color="auto"/>
              <w:right w:val="single" w:sz="4" w:space="0" w:color="auto"/>
            </w:tcBorders>
            <w:shd w:val="clear" w:color="auto" w:fill="auto"/>
            <w:vAlign w:val="bottom"/>
          </w:tcPr>
          <w:p w14:paraId="61F2199F" w14:textId="77777777" w:rsidR="00A63E81" w:rsidRPr="00A63E81" w:rsidRDefault="00A63E81" w:rsidP="006E3DC0">
            <w:pPr>
              <w:jc w:val="both"/>
              <w:rPr>
                <w:rFonts w:ascii="Times New Roman" w:hAnsi="Times New Roman" w:cs="Times New Roman"/>
                <w:color w:val="000000"/>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FCDCFB7" w14:textId="77777777" w:rsidR="00A63E81" w:rsidRPr="00A63E81" w:rsidRDefault="00A63E81" w:rsidP="006E3DC0">
            <w:pPr>
              <w:rPr>
                <w:rFonts w:ascii="Times New Roman" w:hAnsi="Times New Roman" w:cs="Times New Roman"/>
                <w:color w:val="000000"/>
                <w:sz w:val="20"/>
                <w:szCs w:val="20"/>
              </w:rPr>
            </w:pPr>
          </w:p>
        </w:tc>
        <w:tc>
          <w:tcPr>
            <w:tcW w:w="992" w:type="dxa"/>
            <w:vMerge/>
            <w:tcBorders>
              <w:left w:val="single" w:sz="4" w:space="0" w:color="auto"/>
              <w:bottom w:val="single" w:sz="4" w:space="0" w:color="auto"/>
              <w:right w:val="single" w:sz="4" w:space="0" w:color="auto"/>
            </w:tcBorders>
            <w:shd w:val="clear" w:color="auto" w:fill="auto"/>
          </w:tcPr>
          <w:p w14:paraId="35A668FC" w14:textId="77777777" w:rsidR="00A63E81" w:rsidRPr="00A63E81" w:rsidRDefault="00A63E81" w:rsidP="006E3DC0">
            <w:pPr>
              <w:rPr>
                <w:rFonts w:ascii="Times New Roman" w:hAnsi="Times New Roman" w:cs="Times New Roman"/>
                <w:color w:val="000000"/>
                <w:sz w:val="20"/>
                <w:szCs w:val="20"/>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C166CA7"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Покупку продуктов питания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3532C18"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 xml:space="preserve">Покупку непродовольственных товаров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8CF5DFF"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Оплату услуг</w:t>
            </w:r>
          </w:p>
        </w:tc>
        <w:tc>
          <w:tcPr>
            <w:tcW w:w="851" w:type="dxa"/>
            <w:vMerge/>
            <w:tcBorders>
              <w:left w:val="single" w:sz="4" w:space="0" w:color="auto"/>
              <w:bottom w:val="single" w:sz="4" w:space="0" w:color="auto"/>
              <w:right w:val="single" w:sz="4" w:space="0" w:color="auto"/>
            </w:tcBorders>
          </w:tcPr>
          <w:p w14:paraId="4655F234" w14:textId="77777777" w:rsidR="00A63E81" w:rsidRPr="00A63E81" w:rsidRDefault="00A63E81" w:rsidP="006E3DC0">
            <w:pPr>
              <w:rPr>
                <w:rFonts w:ascii="Times New Roman" w:hAnsi="Times New Roman" w:cs="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A398463"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Покупку продуктов питания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98BF74"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Покупку непродовольственных товаров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DF597C9"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Оплату услуг</w:t>
            </w:r>
          </w:p>
        </w:tc>
      </w:tr>
      <w:tr w:rsidR="00A63E81" w:rsidRPr="00221F51" w14:paraId="0F58A80B"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BEAF999" w14:textId="77777777" w:rsidR="00A63E81" w:rsidRPr="00A63E81" w:rsidRDefault="00A63E81" w:rsidP="006E3DC0">
            <w:pPr>
              <w:jc w:val="both"/>
              <w:rPr>
                <w:rFonts w:ascii="Times New Roman" w:hAnsi="Times New Roman" w:cs="Times New Roman"/>
                <w:color w:val="000000"/>
                <w:sz w:val="20"/>
                <w:szCs w:val="20"/>
              </w:rPr>
            </w:pPr>
            <w:r w:rsidRPr="00A63E81">
              <w:rPr>
                <w:rFonts w:ascii="Times New Roman" w:hAnsi="Times New Roman" w:cs="Times New Roman"/>
                <w:color w:val="000000"/>
                <w:sz w:val="20"/>
                <w:szCs w:val="20"/>
              </w:rPr>
              <w:t>1</w:t>
            </w:r>
          </w:p>
        </w:tc>
        <w:tc>
          <w:tcPr>
            <w:tcW w:w="1417" w:type="dxa"/>
            <w:tcBorders>
              <w:top w:val="single" w:sz="4" w:space="0" w:color="auto"/>
              <w:left w:val="nil"/>
              <w:bottom w:val="single" w:sz="4" w:space="0" w:color="auto"/>
              <w:right w:val="single" w:sz="4" w:space="0" w:color="auto"/>
            </w:tcBorders>
            <w:shd w:val="clear" w:color="auto" w:fill="auto"/>
            <w:vAlign w:val="bottom"/>
          </w:tcPr>
          <w:p w14:paraId="70761AC7"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77,1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DEE3DF9"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60,9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37CC7910"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A4D1B2D"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3B186850"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22,2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32668C2C"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231C35EC"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3,8</w:t>
            </w:r>
          </w:p>
        </w:tc>
        <w:tc>
          <w:tcPr>
            <w:tcW w:w="992" w:type="dxa"/>
            <w:tcBorders>
              <w:top w:val="single" w:sz="4" w:space="0" w:color="auto"/>
              <w:left w:val="single" w:sz="4" w:space="0" w:color="auto"/>
              <w:bottom w:val="single" w:sz="4" w:space="0" w:color="auto"/>
              <w:right w:val="nil"/>
            </w:tcBorders>
            <w:shd w:val="clear" w:color="auto" w:fill="auto"/>
            <w:vAlign w:val="bottom"/>
          </w:tcPr>
          <w:p w14:paraId="0C4D7295"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2317B6C"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2,6</w:t>
            </w:r>
          </w:p>
        </w:tc>
      </w:tr>
      <w:tr w:rsidR="00A63E81" w:rsidRPr="00221F51" w14:paraId="2F742D34"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57335E40" w14:textId="77777777" w:rsidR="00A63E81" w:rsidRPr="00A63E81" w:rsidRDefault="00A63E81" w:rsidP="006E3DC0">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w:t>
            </w:r>
          </w:p>
        </w:tc>
        <w:tc>
          <w:tcPr>
            <w:tcW w:w="1417" w:type="dxa"/>
            <w:tcBorders>
              <w:top w:val="single" w:sz="4" w:space="0" w:color="auto"/>
              <w:left w:val="nil"/>
              <w:bottom w:val="single" w:sz="4" w:space="0" w:color="auto"/>
              <w:right w:val="single" w:sz="4" w:space="0" w:color="auto"/>
            </w:tcBorders>
            <w:shd w:val="clear" w:color="auto" w:fill="auto"/>
            <w:vAlign w:val="bottom"/>
          </w:tcPr>
          <w:p w14:paraId="68B39630"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C95A094"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77,0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33E323F"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41A649E"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2392D10D"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26,2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526A966B"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E1977A3"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20,3</w:t>
            </w:r>
          </w:p>
        </w:tc>
        <w:tc>
          <w:tcPr>
            <w:tcW w:w="992" w:type="dxa"/>
            <w:tcBorders>
              <w:top w:val="single" w:sz="4" w:space="0" w:color="auto"/>
              <w:left w:val="single" w:sz="4" w:space="0" w:color="auto"/>
              <w:bottom w:val="single" w:sz="4" w:space="0" w:color="auto"/>
              <w:right w:val="nil"/>
            </w:tcBorders>
            <w:shd w:val="clear" w:color="auto" w:fill="auto"/>
            <w:vAlign w:val="bottom"/>
          </w:tcPr>
          <w:p w14:paraId="120F9038"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18,9</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7A1C6C50"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17,7</w:t>
            </w:r>
          </w:p>
        </w:tc>
      </w:tr>
      <w:tr w:rsidR="00A63E81" w:rsidRPr="00221F51" w14:paraId="0849341D"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16F6EC59" w14:textId="77777777" w:rsidR="00A63E81" w:rsidRPr="00A63E81" w:rsidRDefault="00A63E81" w:rsidP="006E3DC0">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w:t>
            </w:r>
          </w:p>
        </w:tc>
        <w:tc>
          <w:tcPr>
            <w:tcW w:w="1417" w:type="dxa"/>
            <w:tcBorders>
              <w:top w:val="single" w:sz="4" w:space="0" w:color="auto"/>
              <w:left w:val="nil"/>
              <w:bottom w:val="single" w:sz="4" w:space="0" w:color="auto"/>
              <w:right w:val="single" w:sz="4" w:space="0" w:color="auto"/>
            </w:tcBorders>
            <w:shd w:val="clear" w:color="auto" w:fill="auto"/>
            <w:vAlign w:val="bottom"/>
          </w:tcPr>
          <w:p w14:paraId="19D5DE9D"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CC9DD11"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90,9</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27329936"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35,9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B2C83C2"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55C78CD5"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25,8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3729BAC"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32,1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ECAFC96"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34,1</w:t>
            </w:r>
          </w:p>
        </w:tc>
        <w:tc>
          <w:tcPr>
            <w:tcW w:w="992" w:type="dxa"/>
            <w:tcBorders>
              <w:top w:val="single" w:sz="4" w:space="0" w:color="auto"/>
              <w:left w:val="single" w:sz="4" w:space="0" w:color="auto"/>
              <w:bottom w:val="single" w:sz="4" w:space="0" w:color="auto"/>
              <w:right w:val="nil"/>
            </w:tcBorders>
            <w:shd w:val="clear" w:color="auto" w:fill="auto"/>
            <w:vAlign w:val="bottom"/>
          </w:tcPr>
          <w:p w14:paraId="0C48DDF0"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32,1</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76F2B0"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29,5</w:t>
            </w:r>
          </w:p>
        </w:tc>
      </w:tr>
      <w:tr w:rsidR="00A63E81" w:rsidRPr="00221F51" w14:paraId="2D473BFC"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B60FEC5" w14:textId="77777777" w:rsidR="00A63E81" w:rsidRPr="00A63E81" w:rsidRDefault="00A63E81" w:rsidP="006E3DC0">
            <w:pPr>
              <w:jc w:val="both"/>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4</w:t>
            </w:r>
          </w:p>
        </w:tc>
        <w:tc>
          <w:tcPr>
            <w:tcW w:w="1417" w:type="dxa"/>
            <w:tcBorders>
              <w:top w:val="single" w:sz="4" w:space="0" w:color="auto"/>
              <w:left w:val="nil"/>
              <w:bottom w:val="single" w:sz="4" w:space="0" w:color="auto"/>
              <w:right w:val="single" w:sz="4" w:space="0" w:color="auto"/>
            </w:tcBorders>
            <w:shd w:val="clear" w:color="auto" w:fill="auto"/>
            <w:vAlign w:val="bottom"/>
          </w:tcPr>
          <w:p w14:paraId="531ABB49"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85,5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38FB2C4"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105,8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7AC9DB79"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CF59BBB"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35,5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56428A0"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4E777E35"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12,6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931894D"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13,4</w:t>
            </w:r>
          </w:p>
        </w:tc>
        <w:tc>
          <w:tcPr>
            <w:tcW w:w="992" w:type="dxa"/>
            <w:tcBorders>
              <w:top w:val="single" w:sz="4" w:space="0" w:color="auto"/>
              <w:left w:val="single" w:sz="4" w:space="0" w:color="auto"/>
              <w:bottom w:val="single" w:sz="4" w:space="0" w:color="auto"/>
              <w:right w:val="nil"/>
            </w:tcBorders>
            <w:shd w:val="clear" w:color="auto" w:fill="auto"/>
            <w:vAlign w:val="bottom"/>
          </w:tcPr>
          <w:p w14:paraId="5C6D24D7"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12,2</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22B2C16"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12,1</w:t>
            </w:r>
          </w:p>
        </w:tc>
      </w:tr>
      <w:tr w:rsidR="00A63E81" w:rsidRPr="00221F51" w14:paraId="619DA210"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20D4ECEB" w14:textId="77777777" w:rsidR="00A63E81" w:rsidRPr="00A63E81" w:rsidRDefault="00A63E81" w:rsidP="006E3DC0">
            <w:pPr>
              <w:jc w:val="both"/>
              <w:rPr>
                <w:rFonts w:ascii="Times New Roman" w:eastAsia="Calibri" w:hAnsi="Times New Roman" w:cs="Times New Roman"/>
                <w:sz w:val="20"/>
                <w:szCs w:val="20"/>
              </w:rPr>
            </w:pPr>
            <w:r w:rsidRPr="00A63E81">
              <w:rPr>
                <w:rFonts w:ascii="Times New Roman" w:hAnsi="Times New Roman" w:cs="Times New Roman"/>
                <w:color w:val="000000"/>
                <w:sz w:val="20"/>
                <w:szCs w:val="20"/>
              </w:rPr>
              <w:t>5-10</w:t>
            </w:r>
          </w:p>
        </w:tc>
        <w:tc>
          <w:tcPr>
            <w:tcW w:w="1417" w:type="dxa"/>
            <w:tcBorders>
              <w:top w:val="single" w:sz="4" w:space="0" w:color="auto"/>
              <w:left w:val="nil"/>
              <w:bottom w:val="single" w:sz="4" w:space="0" w:color="auto"/>
              <w:right w:val="single" w:sz="4" w:space="0" w:color="auto"/>
            </w:tcBorders>
            <w:shd w:val="clear" w:color="auto" w:fill="auto"/>
            <w:vAlign w:val="bottom"/>
          </w:tcPr>
          <w:p w14:paraId="2391B9F5"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78,7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897A387"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127,8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14:paraId="5C693C5F"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C3DE98B"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7E355BF3"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32,5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14:paraId="60156D0A"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1050AE6" w14:textId="77777777" w:rsidR="00A63E81" w:rsidRPr="00A63E81" w:rsidRDefault="00A63E81" w:rsidP="006E3DC0">
            <w:pPr>
              <w:jc w:val="right"/>
              <w:rPr>
                <w:rFonts w:ascii="Times New Roman" w:eastAsia="Calibri" w:hAnsi="Times New Roman" w:cs="Times New Roman"/>
                <w:sz w:val="20"/>
                <w:szCs w:val="20"/>
                <w:lang w:val="en-US"/>
              </w:rPr>
            </w:pPr>
            <w:r w:rsidRPr="00A63E81">
              <w:rPr>
                <w:rFonts w:ascii="Times New Roman" w:hAnsi="Times New Roman" w:cs="Times New Roman"/>
                <w:color w:val="000000"/>
                <w:sz w:val="20"/>
                <w:szCs w:val="20"/>
              </w:rPr>
              <w:t>28,3</w:t>
            </w:r>
          </w:p>
        </w:tc>
        <w:tc>
          <w:tcPr>
            <w:tcW w:w="992" w:type="dxa"/>
            <w:tcBorders>
              <w:top w:val="single" w:sz="4" w:space="0" w:color="auto"/>
              <w:left w:val="single" w:sz="4" w:space="0" w:color="auto"/>
              <w:bottom w:val="single" w:sz="4" w:space="0" w:color="auto"/>
              <w:right w:val="nil"/>
            </w:tcBorders>
            <w:shd w:val="clear" w:color="auto" w:fill="auto"/>
            <w:vAlign w:val="bottom"/>
          </w:tcPr>
          <w:p w14:paraId="297FF378"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33,5</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AC1B3C"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38,2</w:t>
            </w:r>
          </w:p>
        </w:tc>
      </w:tr>
      <w:tr w:rsidR="00A63E81" w:rsidRPr="002E3B70" w14:paraId="260E81C3" w14:textId="77777777" w:rsidTr="00A63E81">
        <w:tc>
          <w:tcPr>
            <w:tcW w:w="988" w:type="dxa"/>
            <w:tcBorders>
              <w:top w:val="single" w:sz="4" w:space="0" w:color="auto"/>
              <w:left w:val="single" w:sz="4" w:space="0" w:color="auto"/>
              <w:bottom w:val="single" w:sz="4" w:space="0" w:color="auto"/>
              <w:right w:val="single" w:sz="4" w:space="0" w:color="auto"/>
            </w:tcBorders>
            <w:shd w:val="clear" w:color="auto" w:fill="auto"/>
            <w:vAlign w:val="bottom"/>
          </w:tcPr>
          <w:p w14:paraId="775F34C6" w14:textId="77777777" w:rsidR="00A63E81" w:rsidRPr="00A63E81" w:rsidRDefault="00A63E81" w:rsidP="006E3DC0">
            <w:pPr>
              <w:rPr>
                <w:rFonts w:ascii="Times New Roman" w:hAnsi="Times New Roman" w:cs="Times New Roman"/>
                <w:color w:val="000000"/>
                <w:sz w:val="20"/>
                <w:szCs w:val="20"/>
              </w:rPr>
            </w:pPr>
            <w:r w:rsidRPr="00A63E81">
              <w:rPr>
                <w:rFonts w:ascii="Times New Roman" w:hAnsi="Times New Roman" w:cs="Times New Roman"/>
                <w:color w:val="000000"/>
                <w:sz w:val="20"/>
                <w:szCs w:val="20"/>
              </w:rPr>
              <w:t>В целом по РФ</w:t>
            </w:r>
          </w:p>
        </w:tc>
        <w:tc>
          <w:tcPr>
            <w:tcW w:w="1417" w:type="dxa"/>
            <w:tcBorders>
              <w:top w:val="single" w:sz="4" w:space="0" w:color="auto"/>
              <w:left w:val="nil"/>
              <w:bottom w:val="single" w:sz="4" w:space="0" w:color="auto"/>
              <w:right w:val="single" w:sz="4" w:space="0" w:color="auto"/>
            </w:tcBorders>
            <w:shd w:val="clear" w:color="auto" w:fill="auto"/>
          </w:tcPr>
          <w:p w14:paraId="1A787E87"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80,8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B9AB86B"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100,0</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9A19D44"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1AFC9D"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36,8</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E59F4BD"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28,7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C0EF179"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525758"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100,0</w:t>
            </w:r>
          </w:p>
        </w:tc>
        <w:tc>
          <w:tcPr>
            <w:tcW w:w="992" w:type="dxa"/>
            <w:tcBorders>
              <w:top w:val="single" w:sz="4" w:space="0" w:color="auto"/>
              <w:left w:val="single" w:sz="4" w:space="0" w:color="auto"/>
              <w:bottom w:val="single" w:sz="4" w:space="0" w:color="auto"/>
              <w:right w:val="nil"/>
            </w:tcBorders>
            <w:shd w:val="clear" w:color="auto" w:fill="auto"/>
          </w:tcPr>
          <w:p w14:paraId="55EDA123"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color w:val="000000"/>
                <w:sz w:val="20"/>
                <w:szCs w:val="20"/>
              </w:rPr>
              <w:t>100,0</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84B9136" w14:textId="77777777" w:rsidR="00A63E81" w:rsidRPr="00A63E81" w:rsidRDefault="00A63E81" w:rsidP="006E3DC0">
            <w:pPr>
              <w:jc w:val="right"/>
              <w:rPr>
                <w:rFonts w:ascii="Times New Roman" w:hAnsi="Times New Roman" w:cs="Times New Roman"/>
                <w:color w:val="000000"/>
                <w:sz w:val="20"/>
                <w:szCs w:val="20"/>
              </w:rPr>
            </w:pPr>
            <w:r w:rsidRPr="00A63E81">
              <w:rPr>
                <w:rFonts w:ascii="Times New Roman" w:hAnsi="Times New Roman" w:cs="Times New Roman"/>
                <w:sz w:val="20"/>
                <w:szCs w:val="20"/>
              </w:rPr>
              <w:t>100,0</w:t>
            </w:r>
          </w:p>
        </w:tc>
      </w:tr>
    </w:tbl>
    <w:p w14:paraId="1594D1B6" w14:textId="77777777" w:rsidR="00A63E81" w:rsidRPr="00A63E81" w:rsidRDefault="00A63E81" w:rsidP="00A63E81">
      <w:pPr>
        <w:spacing w:after="0" w:line="240" w:lineRule="auto"/>
        <w:ind w:left="360"/>
        <w:jc w:val="both"/>
        <w:rPr>
          <w:rFonts w:ascii="Times New Roman" w:eastAsia="Calibri" w:hAnsi="Times New Roman" w:cs="Times New Roman"/>
          <w:sz w:val="24"/>
          <w:szCs w:val="24"/>
        </w:rPr>
      </w:pPr>
    </w:p>
    <w:p w14:paraId="093DEB9E" w14:textId="77777777" w:rsidR="00A63E81" w:rsidRPr="00A63E81" w:rsidRDefault="00A63E81" w:rsidP="00A63E81">
      <w:pPr>
        <w:spacing w:after="0" w:line="240" w:lineRule="auto"/>
        <w:ind w:left="360"/>
        <w:jc w:val="both"/>
        <w:rPr>
          <w:rFonts w:ascii="Times New Roman" w:eastAsia="Calibri" w:hAnsi="Times New Roman" w:cs="Times New Roman"/>
          <w:sz w:val="24"/>
          <w:szCs w:val="24"/>
          <w:lang w:val="en-US"/>
        </w:rPr>
      </w:pPr>
      <w:proofErr w:type="spellStart"/>
      <w:r w:rsidRPr="00A63E81">
        <w:rPr>
          <w:rFonts w:ascii="Times New Roman" w:eastAsia="Calibri" w:hAnsi="Times New Roman" w:cs="Times New Roman"/>
          <w:sz w:val="24"/>
          <w:szCs w:val="24"/>
          <w:lang w:val="en-US"/>
        </w:rPr>
        <w:t>Источник</w:t>
      </w:r>
      <w:proofErr w:type="spellEnd"/>
      <w:r w:rsidRPr="00A63E81">
        <w:rPr>
          <w:rFonts w:ascii="Times New Roman" w:eastAsia="Calibri" w:hAnsi="Times New Roman" w:cs="Times New Roman"/>
          <w:sz w:val="24"/>
          <w:szCs w:val="24"/>
          <w:lang w:val="en-US"/>
        </w:rPr>
        <w:t xml:space="preserve">: </w:t>
      </w:r>
      <w:proofErr w:type="spellStart"/>
      <w:r w:rsidRPr="00A63E81">
        <w:rPr>
          <w:rFonts w:ascii="Times New Roman" w:eastAsia="Calibri" w:hAnsi="Times New Roman" w:cs="Times New Roman"/>
          <w:sz w:val="24"/>
          <w:szCs w:val="24"/>
          <w:lang w:val="en-US"/>
        </w:rPr>
        <w:t>расчеты</w:t>
      </w:r>
      <w:proofErr w:type="spellEnd"/>
      <w:r w:rsidRPr="00A63E81">
        <w:rPr>
          <w:rFonts w:ascii="Times New Roman" w:eastAsia="Calibri" w:hAnsi="Times New Roman" w:cs="Times New Roman"/>
          <w:sz w:val="24"/>
          <w:szCs w:val="24"/>
          <w:lang w:val="en-US"/>
        </w:rPr>
        <w:t xml:space="preserve"> ИНП РАН</w:t>
      </w:r>
    </w:p>
    <w:p w14:paraId="2784BE3A"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Структура потребительских расходов для большинства регионов оказывается близкой, различия отмечаются лишь для нижней и самых верхних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касаются они соотношений между расходами на покупку продуктов питания и оплату услуг.  </w:t>
      </w:r>
    </w:p>
    <w:p w14:paraId="2A8288E5"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 разделах </w:t>
      </w:r>
      <w:r w:rsidRPr="006E3DC0">
        <w:rPr>
          <w:rFonts w:ascii="Times New Roman" w:eastAsia="Calibri" w:hAnsi="Times New Roman" w:cs="Times New Roman"/>
          <w:sz w:val="28"/>
          <w:szCs w:val="28"/>
          <w:highlight w:val="red"/>
        </w:rPr>
        <w:t>(ХХ)</w:t>
      </w:r>
      <w:r w:rsidRPr="006E3DC0">
        <w:rPr>
          <w:rFonts w:ascii="Times New Roman" w:eastAsia="Calibri" w:hAnsi="Times New Roman" w:cs="Times New Roman"/>
          <w:sz w:val="28"/>
          <w:szCs w:val="28"/>
        </w:rPr>
        <w:t xml:space="preserve"> доклада приведены международные сопоставления структуры расходов домашних хозяйств по товарным группам, где отмечено, что доля расходов на продовольствие в России заметно выше, чем в странах с примерно одинаковым уровнем среднедушевого ВВП по ППС. Доступная статистика не позволяет провести аналогичные расчеты по регионам, однако сравнение структуры потребительских расходов показывает, что расходы на покупку продуктов питания меньше средних по РФ только в регионах </w:t>
      </w:r>
      <w:proofErr w:type="gramStart"/>
      <w:r w:rsidRPr="006E3DC0">
        <w:rPr>
          <w:rFonts w:ascii="Times New Roman" w:eastAsia="Calibri" w:hAnsi="Times New Roman" w:cs="Times New Roman"/>
          <w:sz w:val="28"/>
          <w:szCs w:val="28"/>
        </w:rPr>
        <w:t>5-10</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т.е. в 11 регионах, в которых душевые доходы населения выше среднероссийских более чем на 16%. Более 40% потребительских расходов тратится на продовольствие только в первой </w:t>
      </w:r>
      <w:proofErr w:type="spellStart"/>
      <w:r w:rsidRPr="006E3DC0">
        <w:rPr>
          <w:rFonts w:ascii="Times New Roman" w:eastAsia="Calibri" w:hAnsi="Times New Roman" w:cs="Times New Roman"/>
          <w:sz w:val="28"/>
          <w:szCs w:val="28"/>
        </w:rPr>
        <w:t>децильной</w:t>
      </w:r>
      <w:proofErr w:type="spellEnd"/>
      <w:r w:rsidRPr="006E3DC0">
        <w:rPr>
          <w:rFonts w:ascii="Times New Roman" w:eastAsia="Calibri" w:hAnsi="Times New Roman" w:cs="Times New Roman"/>
          <w:sz w:val="28"/>
          <w:szCs w:val="28"/>
        </w:rPr>
        <w:t xml:space="preserve"> группе, для абсолютного большинства регионов расходы на продовольствие составляют порядка 36% потребительских расходов. Аналогичным образом, доля потребительских расходов на оплату услуг превышает средние по России только для регионов с высокими доходами (</w:t>
      </w:r>
      <w:proofErr w:type="gramStart"/>
      <w:r w:rsidRPr="006E3DC0">
        <w:rPr>
          <w:rFonts w:ascii="Times New Roman" w:eastAsia="Calibri" w:hAnsi="Times New Roman" w:cs="Times New Roman"/>
          <w:sz w:val="28"/>
          <w:szCs w:val="28"/>
        </w:rPr>
        <w:t>5-10</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децильные</w:t>
      </w:r>
      <w:proofErr w:type="spellEnd"/>
      <w:r w:rsidRPr="006E3DC0">
        <w:rPr>
          <w:rFonts w:ascii="Times New Roman" w:eastAsia="Calibri" w:hAnsi="Times New Roman" w:cs="Times New Roman"/>
          <w:sz w:val="28"/>
          <w:szCs w:val="28"/>
        </w:rPr>
        <w:t xml:space="preserve"> группы), во всех остальных группах регионов она не достигает среднероссийской. Вместе с тем, на долю регионов с высокими доходами данной группы приходится 38,3% всех расходов на оплату услуг.  </w:t>
      </w:r>
    </w:p>
    <w:p w14:paraId="6CCA7A27"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Сложившиеся пропорции распределения потребительских расходов, которые напрямую связаны с межрегиональными соотношениями доходов населения, оказываются довольно близкими для большинства регионов (</w:t>
      </w:r>
      <w:proofErr w:type="gramStart"/>
      <w:r w:rsidRPr="006E3DC0">
        <w:rPr>
          <w:rFonts w:ascii="Times New Roman" w:eastAsia="Calibri" w:hAnsi="Times New Roman" w:cs="Times New Roman"/>
          <w:sz w:val="28"/>
          <w:szCs w:val="28"/>
        </w:rPr>
        <w:t>2-4</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децильные</w:t>
      </w:r>
      <w:proofErr w:type="spellEnd"/>
      <w:r w:rsidRPr="006E3DC0">
        <w:rPr>
          <w:rFonts w:ascii="Times New Roman" w:eastAsia="Calibri" w:hAnsi="Times New Roman" w:cs="Times New Roman"/>
          <w:sz w:val="28"/>
          <w:szCs w:val="28"/>
        </w:rPr>
        <w:t xml:space="preserve"> группы) как по числу регионов, так и по их удельному весу в суммарных по РФ показателям. В этой связи сдвиги в структуре потребительских расходов, предполагающие снижение расходов на продовольствие, рост доли расходов на оплату услуг, характерные для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 с высокими доходами, возможны только при росте среднедушевых доходов в большинстве регионов, подтягиванию их к уровню доходов в немногочисленных «богатых» регионов. </w:t>
      </w:r>
    </w:p>
    <w:p w14:paraId="2EBD1684"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 целом анализ межрегиональной дифференциации денежных доходов населения за 25-летний период, за который доходы населения в реальном выражении выросли в 1,85 раза, показывает наличие слабой тенденции к снижению межрегиональных различий среднедушевых доходов населения. Дифференциация заметно сократилась в период с 2001 по 2014 год, когда доходы росли. Существенным фактором, определяющим межрегиональную дифференциацию доходов, являются различия цен в регионах, при их элиминировании показатели дифференциации существенно снижаются. Разрыв между максимальными и минимальными среднедушевыми доходами в номинальном выражении почти в 2 раза выше, чем при учете межрегиональной дифференциации цен, позволяющем сравнивать реальные доходы населения. </w:t>
      </w:r>
    </w:p>
    <w:p w14:paraId="2715929B"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Тесная связь, существующая между темпами роста доходов населения и их межрегиональной дифференциацией, показывает, что важнейшим условием снижения межрегиональных различий в доходах населения является экономический рост, поскольку активизирует все источники роста доходов населения. Динамика доходов </w:t>
      </w:r>
      <w:proofErr w:type="gramStart"/>
      <w:r w:rsidRPr="006E3DC0">
        <w:rPr>
          <w:rFonts w:ascii="Times New Roman" w:eastAsia="Calibri" w:hAnsi="Times New Roman" w:cs="Times New Roman"/>
          <w:sz w:val="28"/>
          <w:szCs w:val="28"/>
        </w:rPr>
        <w:t>2015-2019</w:t>
      </w:r>
      <w:proofErr w:type="gramEnd"/>
      <w:r w:rsidRPr="006E3DC0">
        <w:rPr>
          <w:rFonts w:ascii="Times New Roman" w:eastAsia="Calibri" w:hAnsi="Times New Roman" w:cs="Times New Roman"/>
          <w:sz w:val="28"/>
          <w:szCs w:val="28"/>
        </w:rPr>
        <w:t xml:space="preserve"> гг., показала, что в условиях падения, либо стагнации доходов населения проявляется тенденция к усилению дифференциации, которая с большой вероятностью будет развиваться, если рост экономики и рост доходов не восстановится.   </w:t>
      </w:r>
    </w:p>
    <w:p w14:paraId="01A6172F"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Высокая межрегиональная дифференциация доходов населения определяются отрывом небольшого числа регионов с наиболее высокими доходами от основной массы регионов. Распределение регионов по </w:t>
      </w:r>
      <w:proofErr w:type="spellStart"/>
      <w:r w:rsidRPr="006E3DC0">
        <w:rPr>
          <w:rFonts w:ascii="Times New Roman" w:eastAsia="Calibri" w:hAnsi="Times New Roman" w:cs="Times New Roman"/>
          <w:sz w:val="28"/>
          <w:szCs w:val="28"/>
        </w:rPr>
        <w:t>децильным</w:t>
      </w:r>
      <w:proofErr w:type="spellEnd"/>
      <w:r w:rsidRPr="006E3DC0">
        <w:rPr>
          <w:rFonts w:ascii="Times New Roman" w:eastAsia="Calibri" w:hAnsi="Times New Roman" w:cs="Times New Roman"/>
          <w:sz w:val="28"/>
          <w:szCs w:val="28"/>
        </w:rPr>
        <w:t xml:space="preserve"> группам в зависимости от величины среднедушевых доходов показывает, что абсолютное большинство регионов (74 из 85) входит в первые 4 группы с минимальными и низкими доходами. Каждая из 6 верхних групп включает </w:t>
      </w:r>
      <w:proofErr w:type="gramStart"/>
      <w:r w:rsidRPr="006E3DC0">
        <w:rPr>
          <w:rFonts w:ascii="Times New Roman" w:eastAsia="Calibri" w:hAnsi="Times New Roman" w:cs="Times New Roman"/>
          <w:sz w:val="28"/>
          <w:szCs w:val="28"/>
        </w:rPr>
        <w:t>1-3</w:t>
      </w:r>
      <w:proofErr w:type="gramEnd"/>
      <w:r w:rsidRPr="006E3DC0">
        <w:rPr>
          <w:rFonts w:ascii="Times New Roman" w:eastAsia="Calibri" w:hAnsi="Times New Roman" w:cs="Times New Roman"/>
          <w:sz w:val="28"/>
          <w:szCs w:val="28"/>
        </w:rPr>
        <w:t xml:space="preserve"> региона. Высокими можно считать только доходы в 11 субъектах РФ, которые входят в </w:t>
      </w:r>
      <w:proofErr w:type="gramStart"/>
      <w:r w:rsidRPr="006E3DC0">
        <w:rPr>
          <w:rFonts w:ascii="Times New Roman" w:eastAsia="Calibri" w:hAnsi="Times New Roman" w:cs="Times New Roman"/>
          <w:sz w:val="28"/>
          <w:szCs w:val="28"/>
        </w:rPr>
        <w:t>5-10</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децильные</w:t>
      </w:r>
      <w:proofErr w:type="spellEnd"/>
      <w:r w:rsidRPr="006E3DC0">
        <w:rPr>
          <w:rFonts w:ascii="Times New Roman" w:eastAsia="Calibri" w:hAnsi="Times New Roman" w:cs="Times New Roman"/>
          <w:sz w:val="28"/>
          <w:szCs w:val="28"/>
        </w:rPr>
        <w:t xml:space="preserve"> группы.</w:t>
      </w:r>
    </w:p>
    <w:p w14:paraId="5BD41581"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Заметные различия по структуре формирования доходов характерны только для первой группы с самыми низкими доходами и верхних групп с самыми высокими доходами. Для большинства регионов (</w:t>
      </w:r>
      <w:proofErr w:type="gramStart"/>
      <w:r w:rsidRPr="006E3DC0">
        <w:rPr>
          <w:rFonts w:ascii="Times New Roman" w:eastAsia="Calibri" w:hAnsi="Times New Roman" w:cs="Times New Roman"/>
          <w:sz w:val="28"/>
          <w:szCs w:val="28"/>
        </w:rPr>
        <w:t>2-4</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децильные</w:t>
      </w:r>
      <w:proofErr w:type="spellEnd"/>
      <w:r w:rsidRPr="006E3DC0">
        <w:rPr>
          <w:rFonts w:ascii="Times New Roman" w:eastAsia="Calibri" w:hAnsi="Times New Roman" w:cs="Times New Roman"/>
          <w:sz w:val="28"/>
          <w:szCs w:val="28"/>
        </w:rPr>
        <w:t xml:space="preserve"> группы) структура формирования доходов и структура потребительских расходов оказываются близкими.</w:t>
      </w:r>
    </w:p>
    <w:p w14:paraId="7249CEE0" w14:textId="77777777" w:rsidR="00A63E81" w:rsidRP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Основным фактором, определяющим рост среднедушевых доходов во всех группах регионов, является оплата труда. Наиболее высока эластичность среднедушевых доходов по отношению к приросту оплаты труда в группах с высокими доходами и самыми низкими доходами. В первом случае рост заработной платы приводит к увеличению доходов в регионах с высокими доходами, среднедушевых доходов в целом по стране и росту межрегиональной дифференциации для страны в целом. Во втором случае растут доходы только в регионах с низкими доходами, межрегиональные различия при этом снижаются. </w:t>
      </w:r>
    </w:p>
    <w:p w14:paraId="4AAB485A" w14:textId="28037E76" w:rsidR="006E3DC0" w:rsidRDefault="00A63E81" w:rsidP="006E3DC0">
      <w:pPr>
        <w:spacing w:after="0" w:line="360" w:lineRule="auto"/>
        <w:ind w:firstLine="567"/>
        <w:jc w:val="both"/>
        <w:rPr>
          <w:rFonts w:ascii="Times New Roman" w:eastAsia="Calibri" w:hAnsi="Times New Roman" w:cs="Times New Roman"/>
          <w:sz w:val="28"/>
          <w:szCs w:val="28"/>
        </w:rPr>
      </w:pPr>
      <w:r w:rsidRPr="006E3DC0">
        <w:rPr>
          <w:rFonts w:ascii="Times New Roman" w:eastAsia="Calibri" w:hAnsi="Times New Roman" w:cs="Times New Roman"/>
          <w:sz w:val="28"/>
          <w:szCs w:val="28"/>
        </w:rPr>
        <w:t xml:space="preserve">Увеличение среднего размера пенсий и социальных пособий оказывает наиболее существенное влияние на среднедушевые доходы в </w:t>
      </w:r>
      <w:proofErr w:type="gramStart"/>
      <w:r w:rsidRPr="006E3DC0">
        <w:rPr>
          <w:rFonts w:ascii="Times New Roman" w:eastAsia="Calibri" w:hAnsi="Times New Roman" w:cs="Times New Roman"/>
          <w:sz w:val="28"/>
          <w:szCs w:val="28"/>
        </w:rPr>
        <w:t>1-3</w:t>
      </w:r>
      <w:proofErr w:type="gramEnd"/>
      <w:r w:rsidRPr="006E3DC0">
        <w:rPr>
          <w:rFonts w:ascii="Times New Roman" w:eastAsia="Calibri" w:hAnsi="Times New Roman" w:cs="Times New Roman"/>
          <w:sz w:val="28"/>
          <w:szCs w:val="28"/>
        </w:rPr>
        <w:t xml:space="preserve"> </w:t>
      </w:r>
      <w:proofErr w:type="spellStart"/>
      <w:r w:rsidRPr="006E3DC0">
        <w:rPr>
          <w:rFonts w:ascii="Times New Roman" w:eastAsia="Calibri" w:hAnsi="Times New Roman" w:cs="Times New Roman"/>
          <w:sz w:val="28"/>
          <w:szCs w:val="28"/>
        </w:rPr>
        <w:t>децильных</w:t>
      </w:r>
      <w:proofErr w:type="spellEnd"/>
      <w:r w:rsidRPr="006E3DC0">
        <w:rPr>
          <w:rFonts w:ascii="Times New Roman" w:eastAsia="Calibri" w:hAnsi="Times New Roman" w:cs="Times New Roman"/>
          <w:sz w:val="28"/>
          <w:szCs w:val="28"/>
        </w:rPr>
        <w:t xml:space="preserve"> группах, именно в таких регионах дополнительные региональные надбавки к пенсиям и социальным пособиям дают наибольший эффект с точки зрения увеличения среднедушевых доходов и снижения их дифференциации. </w:t>
      </w:r>
      <w:r w:rsidR="006E3DC0">
        <w:rPr>
          <w:rFonts w:ascii="Times New Roman" w:eastAsia="Calibri" w:hAnsi="Times New Roman" w:cs="Times New Roman"/>
          <w:sz w:val="28"/>
          <w:szCs w:val="28"/>
        </w:rPr>
        <w:br w:type="page"/>
      </w:r>
    </w:p>
    <w:p w14:paraId="499A2389" w14:textId="3F2818D9" w:rsidR="00FF459E" w:rsidRPr="00322B2E" w:rsidRDefault="00FF459E" w:rsidP="006F431D">
      <w:pPr>
        <w:pStyle w:val="1"/>
        <w:numPr>
          <w:ilvl w:val="0"/>
          <w:numId w:val="14"/>
        </w:numPr>
        <w:rPr>
          <w:rFonts w:ascii="Times New Roman" w:hAnsi="Times New Roman" w:cs="Times New Roman"/>
          <w:color w:val="auto"/>
        </w:rPr>
      </w:pPr>
      <w:bookmarkStart w:id="9" w:name="_Toc67417873"/>
      <w:r w:rsidRPr="00322B2E">
        <w:rPr>
          <w:rFonts w:ascii="Times New Roman" w:hAnsi="Times New Roman" w:cs="Times New Roman"/>
          <w:color w:val="auto"/>
        </w:rPr>
        <w:t>Миграция населения и рабочей силы</w:t>
      </w:r>
      <w:bookmarkEnd w:id="9"/>
    </w:p>
    <w:p w14:paraId="21637D19" w14:textId="66E2EE24" w:rsidR="00A9057E" w:rsidRPr="009F6DA3" w:rsidRDefault="00A9057E" w:rsidP="0015778E">
      <w:pPr>
        <w:spacing w:before="120" w:line="360" w:lineRule="auto"/>
        <w:ind w:firstLine="567"/>
        <w:jc w:val="both"/>
        <w:rPr>
          <w:rFonts w:ascii="Times New Roman" w:hAnsi="Times New Roman" w:cs="Times New Roman"/>
          <w:sz w:val="28"/>
          <w:szCs w:val="28"/>
        </w:rPr>
      </w:pPr>
      <w:r w:rsidRPr="009F6DA3">
        <w:rPr>
          <w:rFonts w:ascii="Times New Roman" w:hAnsi="Times New Roman" w:cs="Times New Roman"/>
          <w:sz w:val="28"/>
          <w:szCs w:val="28"/>
        </w:rPr>
        <w:t xml:space="preserve">Данные официальной статистики свидетельствуют о росте перемещений населения и рабочей силы между регионами, которые к 2019 г. достигли чуть менее 5 </w:t>
      </w:r>
      <w:proofErr w:type="gramStart"/>
      <w:r w:rsidRPr="009F6DA3">
        <w:rPr>
          <w:rFonts w:ascii="Times New Roman" w:hAnsi="Times New Roman" w:cs="Times New Roman"/>
          <w:sz w:val="28"/>
          <w:szCs w:val="28"/>
        </w:rPr>
        <w:t>млн.</w:t>
      </w:r>
      <w:proofErr w:type="gramEnd"/>
      <w:r w:rsidRPr="009F6DA3">
        <w:rPr>
          <w:rFonts w:ascii="Times New Roman" w:hAnsi="Times New Roman" w:cs="Times New Roman"/>
          <w:sz w:val="28"/>
          <w:szCs w:val="28"/>
        </w:rPr>
        <w:t xml:space="preserve"> по стране (увеличившись на 40% по сравнению с 2011 г.) (рис. </w:t>
      </w:r>
      <w:r w:rsidR="006134EC">
        <w:rPr>
          <w:rFonts w:ascii="Times New Roman" w:hAnsi="Times New Roman" w:cs="Times New Roman"/>
          <w:sz w:val="28"/>
          <w:szCs w:val="28"/>
        </w:rPr>
        <w:t>7</w:t>
      </w:r>
      <w:r>
        <w:rPr>
          <w:rFonts w:ascii="Times New Roman" w:hAnsi="Times New Roman" w:cs="Times New Roman"/>
          <w:sz w:val="28"/>
          <w:szCs w:val="28"/>
        </w:rPr>
        <w:t>.</w:t>
      </w:r>
      <w:r w:rsidRPr="009F6DA3">
        <w:rPr>
          <w:rFonts w:ascii="Times New Roman" w:hAnsi="Times New Roman" w:cs="Times New Roman"/>
          <w:sz w:val="28"/>
          <w:szCs w:val="28"/>
        </w:rPr>
        <w:t>1).</w:t>
      </w:r>
    </w:p>
    <w:p w14:paraId="4F3145D4" w14:textId="0CBBCC75" w:rsidR="00A9057E" w:rsidRPr="009F6DA3" w:rsidRDefault="00A9057E" w:rsidP="00EB17FE">
      <w:pPr>
        <w:spacing w:line="360" w:lineRule="auto"/>
        <w:ind w:left="360"/>
        <w:jc w:val="both"/>
        <w:rPr>
          <w:rFonts w:ascii="Times New Roman" w:hAnsi="Times New Roman" w:cs="Times New Roman"/>
          <w:sz w:val="28"/>
          <w:szCs w:val="28"/>
        </w:rPr>
      </w:pPr>
      <w:r w:rsidRPr="009F6DA3">
        <w:rPr>
          <w:rFonts w:ascii="Times New Roman" w:hAnsi="Times New Roman" w:cs="Times New Roman"/>
          <w:sz w:val="28"/>
          <w:szCs w:val="28"/>
        </w:rPr>
        <w:t xml:space="preserve"> </w:t>
      </w:r>
      <w:r w:rsidRPr="009F6DA3">
        <w:rPr>
          <w:rFonts w:ascii="Times New Roman" w:hAnsi="Times New Roman" w:cs="Times New Roman"/>
          <w:noProof/>
          <w:sz w:val="28"/>
          <w:szCs w:val="28"/>
          <w:lang w:eastAsia="ru-RU"/>
        </w:rPr>
        <w:drawing>
          <wp:inline distT="0" distB="0" distL="0" distR="0" wp14:anchorId="7464BC73" wp14:editId="69004D25">
            <wp:extent cx="4572000" cy="2743200"/>
            <wp:effectExtent l="0" t="0" r="0" b="0"/>
            <wp:docPr id="27" name="Диаграмма 27">
              <a:extLst xmlns:a="http://schemas.openxmlformats.org/drawingml/2006/main">
                <a:ext uri="{FF2B5EF4-FFF2-40B4-BE49-F238E27FC236}">
                  <a16:creationId xmlns:a16="http://schemas.microsoft.com/office/drawing/2014/main" id="{7F980E96-352D-4EC3-9DA7-B457DFCDE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050A3B8" w14:textId="7DE16532"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sz w:val="28"/>
          <w:szCs w:val="28"/>
        </w:rPr>
        <w:t xml:space="preserve">Рис. </w:t>
      </w:r>
      <w:r w:rsidR="006134EC">
        <w:rPr>
          <w:rFonts w:ascii="Times New Roman" w:hAnsi="Times New Roman" w:cs="Times New Roman"/>
          <w:sz w:val="28"/>
          <w:szCs w:val="28"/>
        </w:rPr>
        <w:t>7</w:t>
      </w:r>
      <w:r>
        <w:rPr>
          <w:rFonts w:ascii="Times New Roman" w:hAnsi="Times New Roman" w:cs="Times New Roman"/>
          <w:sz w:val="28"/>
          <w:szCs w:val="28"/>
        </w:rPr>
        <w:t>.</w:t>
      </w:r>
      <w:r w:rsidRPr="009F6DA3">
        <w:rPr>
          <w:rFonts w:ascii="Times New Roman" w:hAnsi="Times New Roman" w:cs="Times New Roman"/>
          <w:sz w:val="28"/>
          <w:szCs w:val="28"/>
        </w:rPr>
        <w:t>1. Масштабы внутренней миграции населения и рабочей силы</w:t>
      </w:r>
      <w:r w:rsidRPr="009F6DA3">
        <w:rPr>
          <w:rStyle w:val="ad"/>
          <w:rFonts w:ascii="Times New Roman" w:hAnsi="Times New Roman" w:cs="Times New Roman"/>
          <w:sz w:val="28"/>
          <w:szCs w:val="28"/>
        </w:rPr>
        <w:footnoteReference w:id="47"/>
      </w:r>
      <w:r w:rsidRPr="009F6DA3">
        <w:rPr>
          <w:rFonts w:ascii="Times New Roman" w:hAnsi="Times New Roman" w:cs="Times New Roman"/>
          <w:sz w:val="28"/>
          <w:szCs w:val="28"/>
        </w:rPr>
        <w:t xml:space="preserve">, </w:t>
      </w:r>
      <w:proofErr w:type="gramStart"/>
      <w:r w:rsidRPr="009F6DA3">
        <w:rPr>
          <w:rFonts w:ascii="Times New Roman" w:hAnsi="Times New Roman" w:cs="Times New Roman"/>
          <w:sz w:val="28"/>
          <w:szCs w:val="28"/>
        </w:rPr>
        <w:t>млн.</w:t>
      </w:r>
      <w:proofErr w:type="gramEnd"/>
      <w:r w:rsidRPr="009F6DA3">
        <w:rPr>
          <w:rFonts w:ascii="Times New Roman" w:hAnsi="Times New Roman" w:cs="Times New Roman"/>
          <w:sz w:val="28"/>
          <w:szCs w:val="28"/>
        </w:rPr>
        <w:t xml:space="preserve"> перемещений </w:t>
      </w:r>
    </w:p>
    <w:p w14:paraId="0B9118C1" w14:textId="2D1D0787" w:rsidR="00A9057E" w:rsidRPr="009F6DA3" w:rsidRDefault="00A9057E" w:rsidP="009F6DA3">
      <w:pPr>
        <w:spacing w:before="240" w:line="360" w:lineRule="auto"/>
        <w:ind w:firstLine="567"/>
        <w:jc w:val="both"/>
        <w:rPr>
          <w:rFonts w:ascii="Times New Roman" w:hAnsi="Times New Roman" w:cs="Times New Roman"/>
          <w:sz w:val="28"/>
          <w:szCs w:val="28"/>
        </w:rPr>
      </w:pPr>
      <w:r w:rsidRPr="009F6DA3">
        <w:rPr>
          <w:rFonts w:ascii="Times New Roman" w:hAnsi="Times New Roman" w:cs="Times New Roman"/>
          <w:sz w:val="28"/>
          <w:szCs w:val="28"/>
        </w:rPr>
        <w:t xml:space="preserve">Наибольшей территориальной подвижностью обладает население трудоспособного возраста: на 2019 г. доля этой группы составляла 70% в суммарном потоке, тогда как на население младше и старше трудоспособного возраста приходилось 19% и 11%, соответственно.  </w:t>
      </w:r>
    </w:p>
    <w:p w14:paraId="586F4B4D" w14:textId="1D9C908B" w:rsidR="00A9057E" w:rsidRPr="009F6DA3" w:rsidRDefault="00E95E32" w:rsidP="009F6DA3">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О</w:t>
      </w:r>
      <w:r w:rsidR="00A9057E" w:rsidRPr="009F6DA3">
        <w:rPr>
          <w:rFonts w:ascii="Times New Roman" w:hAnsi="Times New Roman" w:cs="Times New Roman"/>
          <w:sz w:val="28"/>
          <w:szCs w:val="28"/>
        </w:rPr>
        <w:t xml:space="preserve">сновные </w:t>
      </w:r>
      <w:r>
        <w:rPr>
          <w:rFonts w:ascii="Times New Roman" w:hAnsi="Times New Roman" w:cs="Times New Roman"/>
          <w:sz w:val="28"/>
          <w:szCs w:val="28"/>
        </w:rPr>
        <w:t>регионы-</w:t>
      </w:r>
      <w:r w:rsidR="00A9057E" w:rsidRPr="009F6DA3">
        <w:rPr>
          <w:rFonts w:ascii="Times New Roman" w:hAnsi="Times New Roman" w:cs="Times New Roman"/>
          <w:sz w:val="28"/>
          <w:szCs w:val="28"/>
        </w:rPr>
        <w:t>реципиенты мигрантов располагаются в европейской</w:t>
      </w:r>
      <w:r w:rsidR="00A9057E" w:rsidRPr="00A9057E">
        <w:rPr>
          <w:rFonts w:ascii="Times New Roman" w:hAnsi="Times New Roman" w:cs="Times New Roman"/>
          <w:sz w:val="28"/>
          <w:szCs w:val="28"/>
        </w:rPr>
        <w:t xml:space="preserve"> части страны. Это, прежде всег</w:t>
      </w:r>
      <w:r w:rsidR="00A9057E">
        <w:rPr>
          <w:rFonts w:ascii="Times New Roman" w:hAnsi="Times New Roman" w:cs="Times New Roman"/>
          <w:sz w:val="28"/>
          <w:szCs w:val="28"/>
        </w:rPr>
        <w:t xml:space="preserve">о, </w:t>
      </w:r>
      <w:r w:rsidR="00A9057E" w:rsidRPr="009F6DA3">
        <w:rPr>
          <w:rFonts w:ascii="Times New Roman" w:hAnsi="Times New Roman" w:cs="Times New Roman"/>
          <w:sz w:val="28"/>
          <w:szCs w:val="28"/>
        </w:rPr>
        <w:t xml:space="preserve">Центральный, Северо-Западный и Южный федеральные округа, миграционное сальдо которых за последние 15 лет увеличилось (рис. </w:t>
      </w:r>
      <w:r w:rsidR="006134EC">
        <w:rPr>
          <w:rFonts w:ascii="Times New Roman" w:hAnsi="Times New Roman" w:cs="Times New Roman"/>
          <w:sz w:val="28"/>
          <w:szCs w:val="28"/>
        </w:rPr>
        <w:t>7</w:t>
      </w:r>
      <w:r w:rsidR="00A9057E">
        <w:rPr>
          <w:rFonts w:ascii="Times New Roman" w:hAnsi="Times New Roman" w:cs="Times New Roman"/>
          <w:sz w:val="28"/>
          <w:szCs w:val="28"/>
        </w:rPr>
        <w:t>.</w:t>
      </w:r>
      <w:r w:rsidR="00A9057E" w:rsidRPr="009F6DA3">
        <w:rPr>
          <w:rFonts w:ascii="Times New Roman" w:hAnsi="Times New Roman" w:cs="Times New Roman"/>
          <w:sz w:val="28"/>
          <w:szCs w:val="28"/>
        </w:rPr>
        <w:t xml:space="preserve">2). Между тем, высокий вклад в миграционное сальдо </w:t>
      </w:r>
      <w:r w:rsidR="00A9057E" w:rsidRPr="00EB17FE">
        <w:rPr>
          <w:rFonts w:ascii="Times New Roman" w:hAnsi="Times New Roman" w:cs="Times New Roman"/>
          <w:sz w:val="28"/>
          <w:szCs w:val="28"/>
        </w:rPr>
        <w:t>федерального округа</w:t>
      </w:r>
      <w:r w:rsidRPr="00EB17FE">
        <w:rPr>
          <w:rFonts w:ascii="Times New Roman" w:hAnsi="Times New Roman" w:cs="Times New Roman"/>
          <w:sz w:val="28"/>
          <w:szCs w:val="28"/>
        </w:rPr>
        <w:t xml:space="preserve"> </w:t>
      </w:r>
      <w:r w:rsidR="00A9057E" w:rsidRPr="00EB17FE">
        <w:rPr>
          <w:rFonts w:ascii="Times New Roman" w:hAnsi="Times New Roman" w:cs="Times New Roman"/>
          <w:sz w:val="28"/>
          <w:szCs w:val="28"/>
        </w:rPr>
        <w:t>вносят</w:t>
      </w:r>
      <w:r w:rsidR="00A9057E" w:rsidRPr="009F6DA3">
        <w:rPr>
          <w:rFonts w:ascii="Times New Roman" w:hAnsi="Times New Roman" w:cs="Times New Roman"/>
          <w:sz w:val="28"/>
          <w:szCs w:val="28"/>
        </w:rPr>
        <w:t xml:space="preserve"> отдельные, единичные регионы. Так, в 2019 г. из 85 субъектов РФ только 19 характеризовались положительным миграционным сальдо (рис. </w:t>
      </w:r>
      <w:r w:rsidR="006134EC">
        <w:rPr>
          <w:rFonts w:ascii="Times New Roman" w:hAnsi="Times New Roman" w:cs="Times New Roman"/>
          <w:sz w:val="28"/>
          <w:szCs w:val="28"/>
        </w:rPr>
        <w:t>7</w:t>
      </w:r>
      <w:r w:rsidR="00A9057E">
        <w:rPr>
          <w:rFonts w:ascii="Times New Roman" w:hAnsi="Times New Roman" w:cs="Times New Roman"/>
          <w:sz w:val="28"/>
          <w:szCs w:val="28"/>
        </w:rPr>
        <w:t>.</w:t>
      </w:r>
      <w:r w:rsidR="00A9057E" w:rsidRPr="009F6DA3">
        <w:rPr>
          <w:rFonts w:ascii="Times New Roman" w:hAnsi="Times New Roman" w:cs="Times New Roman"/>
          <w:sz w:val="28"/>
          <w:szCs w:val="28"/>
        </w:rPr>
        <w:t>3). В первую очередь</w:t>
      </w:r>
      <w:r>
        <w:rPr>
          <w:rFonts w:ascii="Times New Roman" w:hAnsi="Times New Roman" w:cs="Times New Roman"/>
          <w:sz w:val="28"/>
          <w:szCs w:val="28"/>
        </w:rPr>
        <w:t>,</w:t>
      </w:r>
      <w:r w:rsidR="00A9057E" w:rsidRPr="009F6DA3">
        <w:rPr>
          <w:rFonts w:ascii="Times New Roman" w:hAnsi="Times New Roman" w:cs="Times New Roman"/>
          <w:sz w:val="28"/>
          <w:szCs w:val="28"/>
        </w:rPr>
        <w:t xml:space="preserve"> Московская обл., г. Москва (ЦФО), Ленинградская обл., г. Санкт-Петербург, Калининградская обл. (СЗФО), Краснодарский край и </w:t>
      </w:r>
      <w:proofErr w:type="spellStart"/>
      <w:r w:rsidR="00A9057E" w:rsidRPr="009F6DA3">
        <w:rPr>
          <w:rFonts w:ascii="Times New Roman" w:hAnsi="Times New Roman" w:cs="Times New Roman"/>
          <w:sz w:val="28"/>
          <w:szCs w:val="28"/>
        </w:rPr>
        <w:t>Респ</w:t>
      </w:r>
      <w:proofErr w:type="spellEnd"/>
      <w:r w:rsidR="00A9057E" w:rsidRPr="009F6DA3">
        <w:rPr>
          <w:rFonts w:ascii="Times New Roman" w:hAnsi="Times New Roman" w:cs="Times New Roman"/>
          <w:sz w:val="28"/>
          <w:szCs w:val="28"/>
        </w:rPr>
        <w:t xml:space="preserve">. Адыгея (ЮФО). </w:t>
      </w:r>
    </w:p>
    <w:p w14:paraId="40A8A2BD" w14:textId="7E8F2D7A" w:rsidR="00A9057E" w:rsidRPr="009F6DA3" w:rsidRDefault="00A9057E" w:rsidP="009F6DA3">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М</w:t>
      </w:r>
      <w:r w:rsidRPr="009F6DA3">
        <w:rPr>
          <w:rFonts w:ascii="Times New Roman" w:hAnsi="Times New Roman" w:cs="Times New Roman"/>
          <w:sz w:val="28"/>
          <w:szCs w:val="28"/>
        </w:rPr>
        <w:t>играционный отток населения с северных и восточных территорий</w:t>
      </w:r>
      <w:r>
        <w:rPr>
          <w:rFonts w:ascii="Times New Roman" w:hAnsi="Times New Roman" w:cs="Times New Roman"/>
          <w:sz w:val="28"/>
          <w:szCs w:val="28"/>
        </w:rPr>
        <w:t xml:space="preserve"> России</w:t>
      </w:r>
      <w:r w:rsidRPr="009F6DA3">
        <w:rPr>
          <w:rFonts w:ascii="Times New Roman" w:hAnsi="Times New Roman" w:cs="Times New Roman"/>
          <w:sz w:val="28"/>
          <w:szCs w:val="28"/>
        </w:rPr>
        <w:t xml:space="preserve"> носит устойчивый, долгосрочный характер. Изменение методологии учета внутренней миграции</w:t>
      </w:r>
      <w:r>
        <w:rPr>
          <w:rFonts w:ascii="Times New Roman" w:hAnsi="Times New Roman" w:cs="Times New Roman"/>
          <w:sz w:val="28"/>
          <w:szCs w:val="28"/>
        </w:rPr>
        <w:t xml:space="preserve">, которое произошло в последние годы, </w:t>
      </w:r>
      <w:r w:rsidRPr="009F6DA3">
        <w:rPr>
          <w:rFonts w:ascii="Times New Roman" w:hAnsi="Times New Roman" w:cs="Times New Roman"/>
          <w:sz w:val="28"/>
          <w:szCs w:val="28"/>
        </w:rPr>
        <w:t xml:space="preserve">не только не изменило тренды, но и усугубило их. </w:t>
      </w:r>
    </w:p>
    <w:p w14:paraId="2077F75E" w14:textId="38D5DCC5"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noProof/>
          <w:sz w:val="28"/>
          <w:szCs w:val="28"/>
          <w:lang w:eastAsia="ru-RU"/>
        </w:rPr>
        <w:drawing>
          <wp:inline distT="0" distB="0" distL="0" distR="0" wp14:anchorId="579E6AFB" wp14:editId="3F36EAAE">
            <wp:extent cx="4572000" cy="2743200"/>
            <wp:effectExtent l="0" t="0" r="0" b="0"/>
            <wp:docPr id="26" name="Диаграмма 26">
              <a:extLst xmlns:a="http://schemas.openxmlformats.org/drawingml/2006/main">
                <a:ext uri="{FF2B5EF4-FFF2-40B4-BE49-F238E27FC236}">
                  <a16:creationId xmlns:a16="http://schemas.microsoft.com/office/drawing/2014/main" id="{6AF5404F-063D-4FC2-BE97-64D438B45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59884C" w14:textId="55D0A112" w:rsidR="00A9057E" w:rsidRPr="009F6DA3" w:rsidRDefault="00A9057E" w:rsidP="009F6DA3">
      <w:pPr>
        <w:pStyle w:val="afa"/>
        <w:spacing w:after="120" w:line="360" w:lineRule="auto"/>
        <w:ind w:left="360"/>
        <w:jc w:val="center"/>
        <w:rPr>
          <w:b w:val="0"/>
          <w:sz w:val="28"/>
          <w:szCs w:val="28"/>
        </w:rPr>
      </w:pPr>
      <w:r w:rsidRPr="009F6DA3">
        <w:rPr>
          <w:b w:val="0"/>
          <w:sz w:val="28"/>
          <w:szCs w:val="28"/>
        </w:rPr>
        <w:t>Рис. </w:t>
      </w:r>
      <w:r w:rsidR="006134EC">
        <w:rPr>
          <w:b w:val="0"/>
          <w:sz w:val="28"/>
          <w:szCs w:val="28"/>
        </w:rPr>
        <w:t>7</w:t>
      </w:r>
      <w:r>
        <w:rPr>
          <w:b w:val="0"/>
          <w:sz w:val="28"/>
          <w:szCs w:val="28"/>
        </w:rPr>
        <w:t>.</w:t>
      </w:r>
      <w:r w:rsidRPr="009F6DA3">
        <w:rPr>
          <w:b w:val="0"/>
          <w:sz w:val="28"/>
          <w:szCs w:val="28"/>
        </w:rPr>
        <w:t>2.</w:t>
      </w:r>
      <w:r w:rsidRPr="009F6DA3">
        <w:rPr>
          <w:b w:val="0"/>
          <w:bCs w:val="0"/>
          <w:sz w:val="28"/>
          <w:szCs w:val="28"/>
        </w:rPr>
        <w:t xml:space="preserve"> М</w:t>
      </w:r>
      <w:r w:rsidRPr="009F6DA3">
        <w:rPr>
          <w:b w:val="0"/>
          <w:sz w:val="28"/>
          <w:szCs w:val="28"/>
        </w:rPr>
        <w:t>играционное</w:t>
      </w:r>
      <w:r w:rsidRPr="009F6DA3">
        <w:rPr>
          <w:b w:val="0"/>
          <w:bCs w:val="0"/>
          <w:sz w:val="28"/>
          <w:szCs w:val="28"/>
        </w:rPr>
        <w:t xml:space="preserve"> сальдо населения по федеральным округам РФ</w:t>
      </w:r>
      <w:r w:rsidRPr="009F6DA3">
        <w:rPr>
          <w:b w:val="0"/>
          <w:sz w:val="28"/>
          <w:szCs w:val="28"/>
        </w:rPr>
        <w:t xml:space="preserve"> </w:t>
      </w:r>
    </w:p>
    <w:p w14:paraId="46CE9976" w14:textId="77777777" w:rsidR="00A9057E" w:rsidRPr="009F6DA3" w:rsidRDefault="00A9057E" w:rsidP="009F6DA3">
      <w:pPr>
        <w:spacing w:line="360" w:lineRule="auto"/>
        <w:ind w:left="360"/>
        <w:rPr>
          <w:rFonts w:ascii="Times New Roman" w:hAnsi="Times New Roman" w:cs="Times New Roman"/>
          <w:sz w:val="28"/>
          <w:szCs w:val="28"/>
        </w:rPr>
      </w:pPr>
    </w:p>
    <w:p w14:paraId="7EE21323" w14:textId="77777777" w:rsidR="00A9057E" w:rsidRPr="009F6DA3" w:rsidRDefault="00A9057E" w:rsidP="009F6DA3">
      <w:pPr>
        <w:spacing w:line="360" w:lineRule="auto"/>
        <w:ind w:left="360"/>
        <w:jc w:val="center"/>
        <w:rPr>
          <w:rFonts w:ascii="Times New Roman" w:hAnsi="Times New Roman" w:cs="Times New Roman"/>
          <w:sz w:val="28"/>
          <w:szCs w:val="28"/>
        </w:rPr>
      </w:pPr>
    </w:p>
    <w:p w14:paraId="42052CA9" w14:textId="6A0D642F"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noProof/>
          <w:sz w:val="28"/>
          <w:szCs w:val="28"/>
          <w:lang w:eastAsia="ru-RU"/>
        </w:rPr>
        <w:drawing>
          <wp:inline distT="0" distB="0" distL="0" distR="0" wp14:anchorId="737B0BE7" wp14:editId="38E2A62A">
            <wp:extent cx="4572000" cy="2743200"/>
            <wp:effectExtent l="0" t="0" r="0" b="0"/>
            <wp:docPr id="25" name="Диаграмма 25">
              <a:extLst xmlns:a="http://schemas.openxmlformats.org/drawingml/2006/main">
                <a:ext uri="{FF2B5EF4-FFF2-40B4-BE49-F238E27FC236}">
                  <a16:creationId xmlns:a16="http://schemas.microsoft.com/office/drawing/2014/main" id="{3A50CABF-3323-4B1C-B352-425EC990A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B8F2E7A" w14:textId="3FC02434"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sz w:val="28"/>
          <w:szCs w:val="28"/>
        </w:rPr>
        <w:t>Рис. </w:t>
      </w:r>
      <w:r w:rsidR="006134EC">
        <w:rPr>
          <w:rFonts w:ascii="Times New Roman" w:hAnsi="Times New Roman" w:cs="Times New Roman"/>
          <w:sz w:val="28"/>
          <w:szCs w:val="28"/>
        </w:rPr>
        <w:t>7</w:t>
      </w:r>
      <w:r>
        <w:rPr>
          <w:rFonts w:ascii="Times New Roman" w:hAnsi="Times New Roman" w:cs="Times New Roman"/>
          <w:sz w:val="28"/>
          <w:szCs w:val="28"/>
        </w:rPr>
        <w:t>.</w:t>
      </w:r>
      <w:r w:rsidRPr="009F6DA3">
        <w:rPr>
          <w:rFonts w:ascii="Times New Roman" w:hAnsi="Times New Roman" w:cs="Times New Roman"/>
          <w:sz w:val="28"/>
          <w:szCs w:val="28"/>
        </w:rPr>
        <w:t>3. Миграционное сальдо в региональном разрезе, 2019 г.</w:t>
      </w:r>
    </w:p>
    <w:p w14:paraId="1EF6EB6B" w14:textId="77777777" w:rsidR="00A9057E" w:rsidRPr="009F6DA3" w:rsidRDefault="00A9057E" w:rsidP="009F6DA3">
      <w:pPr>
        <w:spacing w:line="360" w:lineRule="auto"/>
        <w:ind w:left="360"/>
        <w:jc w:val="both"/>
        <w:rPr>
          <w:rFonts w:ascii="Times New Roman" w:hAnsi="Times New Roman" w:cs="Times New Roman"/>
          <w:sz w:val="28"/>
          <w:szCs w:val="28"/>
        </w:rPr>
      </w:pPr>
    </w:p>
    <w:p w14:paraId="01B22D55" w14:textId="77777777" w:rsidR="00A9057E" w:rsidRPr="009F6DA3" w:rsidRDefault="00A9057E" w:rsidP="009F6DA3">
      <w:pPr>
        <w:spacing w:before="240" w:line="360" w:lineRule="auto"/>
        <w:ind w:firstLine="567"/>
        <w:jc w:val="both"/>
        <w:rPr>
          <w:rFonts w:ascii="Times New Roman" w:hAnsi="Times New Roman" w:cs="Times New Roman"/>
          <w:sz w:val="28"/>
          <w:szCs w:val="28"/>
        </w:rPr>
      </w:pPr>
      <w:r w:rsidRPr="009F6DA3">
        <w:rPr>
          <w:rFonts w:ascii="Times New Roman" w:hAnsi="Times New Roman" w:cs="Times New Roman"/>
          <w:sz w:val="28"/>
          <w:szCs w:val="28"/>
        </w:rPr>
        <w:t xml:space="preserve">Сложившаяся структура миграции говорит о том, что население покидает регионы с менее благополучными социально-экономическими условиями и концентрируется в ограниченном числе регионов с высоким уровнем жизни, развитыми инфраструктурой, сферами образования, торговли, услуг и более широкими возможностями реализации на рынке труда. </w:t>
      </w:r>
    </w:p>
    <w:p w14:paraId="2F470084" w14:textId="5E55288B" w:rsidR="00A9057E" w:rsidRPr="00705492" w:rsidRDefault="00A22A0D" w:rsidP="00705492">
      <w:pPr>
        <w:spacing w:before="24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Помимо текущего учета населения еще одним</w:t>
      </w:r>
      <w:r w:rsidR="00A9057E" w:rsidRPr="009F6DA3">
        <w:rPr>
          <w:rFonts w:ascii="Times New Roman" w:hAnsi="Times New Roman" w:cs="Times New Roman"/>
          <w:sz w:val="28"/>
          <w:szCs w:val="28"/>
        </w:rPr>
        <w:t xml:space="preserve"> официальным источником информации о внутренней миграции является статистика временной трудовой миграции, которая фиксирует в рамках обследований число людей, работающих в регионе, отличном от места своего постоянного проживания. Эти данные говорят о том, что число временных трудовых мигрантов, также как и их доля в общей численности занятых в стране, за </w:t>
      </w:r>
      <w:proofErr w:type="gramStart"/>
      <w:r w:rsidR="00A9057E" w:rsidRPr="009F6DA3">
        <w:rPr>
          <w:rFonts w:ascii="Times New Roman" w:hAnsi="Times New Roman" w:cs="Times New Roman"/>
          <w:sz w:val="28"/>
          <w:szCs w:val="28"/>
        </w:rPr>
        <w:t>2005-2018</w:t>
      </w:r>
      <w:proofErr w:type="gramEnd"/>
      <w:r w:rsidR="00A9057E" w:rsidRPr="009F6DA3">
        <w:rPr>
          <w:rFonts w:ascii="Times New Roman" w:hAnsi="Times New Roman" w:cs="Times New Roman"/>
          <w:sz w:val="28"/>
          <w:szCs w:val="28"/>
        </w:rPr>
        <w:t xml:space="preserve"> гг. увеличилось более чем в три раза и к 2018 г. составило 3 млн. чел. (рис. </w:t>
      </w:r>
      <w:r w:rsidR="006134EC">
        <w:rPr>
          <w:rFonts w:ascii="Times New Roman" w:hAnsi="Times New Roman" w:cs="Times New Roman"/>
          <w:sz w:val="28"/>
          <w:szCs w:val="28"/>
        </w:rPr>
        <w:t>7</w:t>
      </w:r>
      <w:r w:rsidR="00A9057E" w:rsidRPr="009F6DA3">
        <w:rPr>
          <w:rFonts w:ascii="Times New Roman" w:hAnsi="Times New Roman" w:cs="Times New Roman"/>
          <w:sz w:val="28"/>
          <w:szCs w:val="28"/>
        </w:rPr>
        <w:t>.4). Несмотря на это, влияние долгосрочной и временной трудовой миграции на уровень жизни населения малоизучены.</w:t>
      </w:r>
    </w:p>
    <w:p w14:paraId="51EB9401" w14:textId="62E8AAA6" w:rsidR="00A9057E" w:rsidRPr="009F6DA3" w:rsidRDefault="00705492" w:rsidP="009F6DA3">
      <w:pPr>
        <w:spacing w:line="360" w:lineRule="auto"/>
        <w:ind w:left="360"/>
        <w:jc w:val="both"/>
        <w:rPr>
          <w:rFonts w:ascii="Times New Roman" w:hAnsi="Times New Roman" w:cs="Times New Roman"/>
          <w:iCs/>
          <w:color w:val="000000"/>
          <w:sz w:val="28"/>
          <w:szCs w:val="28"/>
        </w:rPr>
      </w:pPr>
      <w:r>
        <w:rPr>
          <w:noProof/>
          <w:lang w:eastAsia="ru-RU"/>
        </w:rPr>
        <w:drawing>
          <wp:inline distT="0" distB="0" distL="0" distR="0" wp14:anchorId="12E788F6" wp14:editId="5EAC13CC">
            <wp:extent cx="5158740" cy="3364742"/>
            <wp:effectExtent l="0" t="0" r="3810" b="7620"/>
            <wp:docPr id="1" name="Диаграмма 1">
              <a:extLst xmlns:a="http://schemas.openxmlformats.org/drawingml/2006/main">
                <a:ext uri="{FF2B5EF4-FFF2-40B4-BE49-F238E27FC236}">
                  <a16:creationId xmlns:a16="http://schemas.microsoft.com/office/drawing/2014/main" id="{E78AB487-6D65-4676-B36C-D0F20F4E04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99D237" w14:textId="455F9BE4" w:rsidR="00A9057E" w:rsidRPr="009F6DA3" w:rsidRDefault="00A9057E" w:rsidP="009F6DA3">
      <w:pPr>
        <w:spacing w:line="360" w:lineRule="auto"/>
        <w:ind w:left="360"/>
        <w:jc w:val="center"/>
        <w:rPr>
          <w:rFonts w:ascii="Times New Roman" w:hAnsi="Times New Roman" w:cs="Times New Roman"/>
          <w:iCs/>
          <w:color w:val="000000"/>
          <w:sz w:val="28"/>
          <w:szCs w:val="28"/>
        </w:rPr>
      </w:pPr>
      <w:r w:rsidRPr="009F6DA3">
        <w:rPr>
          <w:rFonts w:ascii="Times New Roman" w:hAnsi="Times New Roman" w:cs="Times New Roman"/>
          <w:iCs/>
          <w:color w:val="000000"/>
          <w:sz w:val="28"/>
          <w:szCs w:val="28"/>
        </w:rPr>
        <w:t xml:space="preserve">Рис. </w:t>
      </w:r>
      <w:r w:rsidR="006134EC">
        <w:rPr>
          <w:rFonts w:ascii="Times New Roman" w:hAnsi="Times New Roman" w:cs="Times New Roman"/>
          <w:iCs/>
          <w:color w:val="000000"/>
          <w:sz w:val="28"/>
          <w:szCs w:val="28"/>
        </w:rPr>
        <w:t>7</w:t>
      </w:r>
      <w:r>
        <w:rPr>
          <w:rFonts w:ascii="Times New Roman" w:hAnsi="Times New Roman" w:cs="Times New Roman"/>
          <w:iCs/>
          <w:color w:val="000000"/>
          <w:sz w:val="28"/>
          <w:szCs w:val="28"/>
        </w:rPr>
        <w:t>.</w:t>
      </w:r>
      <w:r w:rsidRPr="009F6DA3">
        <w:rPr>
          <w:rFonts w:ascii="Times New Roman" w:hAnsi="Times New Roman" w:cs="Times New Roman"/>
          <w:iCs/>
          <w:color w:val="000000"/>
          <w:sz w:val="28"/>
          <w:szCs w:val="28"/>
        </w:rPr>
        <w:t>4. Структура з</w:t>
      </w:r>
      <w:r w:rsidRPr="009F6DA3">
        <w:rPr>
          <w:rFonts w:ascii="Times New Roman" w:hAnsi="Times New Roman" w:cs="Times New Roman"/>
          <w:sz w:val="28"/>
          <w:szCs w:val="28"/>
        </w:rPr>
        <w:t>анятого населения по месту нахождения работы</w:t>
      </w:r>
    </w:p>
    <w:p w14:paraId="09225862" w14:textId="77777777" w:rsidR="00A9057E" w:rsidRPr="009F6DA3" w:rsidRDefault="00A9057E" w:rsidP="009F6DA3">
      <w:pPr>
        <w:spacing w:line="360" w:lineRule="auto"/>
        <w:ind w:left="360"/>
        <w:jc w:val="both"/>
        <w:rPr>
          <w:rFonts w:ascii="Times New Roman" w:hAnsi="Times New Roman" w:cs="Times New Roman"/>
          <w:iCs/>
          <w:color w:val="000000"/>
          <w:sz w:val="28"/>
          <w:szCs w:val="28"/>
        </w:rPr>
      </w:pPr>
    </w:p>
    <w:p w14:paraId="05A55743" w14:textId="3FF8571C"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География распределения временных трудовых мигрантов несколько отличается от миграции населения даже на уровне федеральных округов (рис. </w:t>
      </w:r>
      <w:r w:rsidR="006134EC">
        <w:rPr>
          <w:rFonts w:ascii="Times New Roman" w:hAnsi="Times New Roman" w:cs="Times New Roman"/>
          <w:sz w:val="28"/>
          <w:szCs w:val="28"/>
        </w:rPr>
        <w:t>7</w:t>
      </w:r>
      <w:r w:rsidRPr="009F6DA3">
        <w:rPr>
          <w:rFonts w:ascii="Times New Roman" w:hAnsi="Times New Roman" w:cs="Times New Roman"/>
          <w:sz w:val="28"/>
          <w:szCs w:val="28"/>
        </w:rPr>
        <w:t xml:space="preserve">.5). Так, Уральский и Дальневосточный федеральные округа характеризуются положительным сальдо трудовых мигрантов, т. к. в них сосредоточены регионы, традиционно привлекательные для вахтового метода работы в связи с установленными в них районными коэффициентами и северными надбавками (по данным за 2019 г. в состав регионов с наибольшим значением средней и медианной заработной платы входят Чукотский АО, Ямало-Ненецкий АО, Магаданская, Сахалинская области). В Южном ФО рынок труда Краснодарского края (с 2015 г. </w:t>
      </w:r>
      <w:r w:rsidR="00E95E32">
        <w:rPr>
          <w:rFonts w:ascii="Times New Roman" w:hAnsi="Times New Roman" w:cs="Times New Roman"/>
          <w:sz w:val="28"/>
          <w:szCs w:val="28"/>
        </w:rPr>
        <w:t xml:space="preserve">– </w:t>
      </w:r>
      <w:r w:rsidRPr="009F6DA3">
        <w:rPr>
          <w:rFonts w:ascii="Times New Roman" w:hAnsi="Times New Roman" w:cs="Times New Roman"/>
          <w:sz w:val="28"/>
          <w:szCs w:val="28"/>
        </w:rPr>
        <w:t>также Крыма и г. Севастополь) явля</w:t>
      </w:r>
      <w:r w:rsidR="00E95E32">
        <w:rPr>
          <w:rFonts w:ascii="Times New Roman" w:hAnsi="Times New Roman" w:cs="Times New Roman"/>
          <w:sz w:val="28"/>
          <w:szCs w:val="28"/>
        </w:rPr>
        <w:t>е</w:t>
      </w:r>
      <w:r w:rsidRPr="009F6DA3">
        <w:rPr>
          <w:rFonts w:ascii="Times New Roman" w:hAnsi="Times New Roman" w:cs="Times New Roman"/>
          <w:sz w:val="28"/>
          <w:szCs w:val="28"/>
        </w:rPr>
        <w:t>тся привлекательным</w:t>
      </w:r>
      <w:r w:rsidR="00E95E32">
        <w:rPr>
          <w:rFonts w:ascii="Times New Roman" w:hAnsi="Times New Roman" w:cs="Times New Roman"/>
          <w:sz w:val="28"/>
          <w:szCs w:val="28"/>
        </w:rPr>
        <w:t xml:space="preserve"> </w:t>
      </w:r>
      <w:r w:rsidRPr="009F6DA3">
        <w:rPr>
          <w:rFonts w:ascii="Times New Roman" w:hAnsi="Times New Roman" w:cs="Times New Roman"/>
          <w:sz w:val="28"/>
          <w:szCs w:val="28"/>
        </w:rPr>
        <w:t xml:space="preserve">для мигрантов из других субъектов РФ. </w:t>
      </w:r>
    </w:p>
    <w:p w14:paraId="33114689" w14:textId="30FD9FDD" w:rsidR="00A9057E" w:rsidRPr="009F6DA3" w:rsidRDefault="00A9057E" w:rsidP="009F6DA3">
      <w:pPr>
        <w:pStyle w:val="afa"/>
        <w:spacing w:after="120" w:line="360" w:lineRule="auto"/>
        <w:ind w:left="360"/>
        <w:jc w:val="center"/>
        <w:rPr>
          <w:b w:val="0"/>
          <w:sz w:val="28"/>
          <w:szCs w:val="28"/>
        </w:rPr>
      </w:pPr>
      <w:r w:rsidRPr="009F6DA3">
        <w:rPr>
          <w:noProof/>
          <w:sz w:val="28"/>
          <w:szCs w:val="28"/>
        </w:rPr>
        <w:drawing>
          <wp:inline distT="0" distB="0" distL="0" distR="0" wp14:anchorId="4205BD2F" wp14:editId="7D6F46D7">
            <wp:extent cx="4604385" cy="2601595"/>
            <wp:effectExtent l="0" t="0" r="5715" b="8255"/>
            <wp:docPr id="23" name="Диаграмма 23">
              <a:extLst xmlns:a="http://schemas.openxmlformats.org/drawingml/2006/main">
                <a:ext uri="{FF2B5EF4-FFF2-40B4-BE49-F238E27FC236}">
                  <a16:creationId xmlns:a16="http://schemas.microsoft.com/office/drawing/2014/main" id="{2D060E9C-59E0-4168-8EFE-35E3994D45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9F6DA3">
        <w:rPr>
          <w:b w:val="0"/>
          <w:sz w:val="28"/>
          <w:szCs w:val="28"/>
        </w:rPr>
        <w:t xml:space="preserve"> </w:t>
      </w:r>
    </w:p>
    <w:p w14:paraId="38CBBB27" w14:textId="296F2BFE" w:rsidR="00A9057E" w:rsidRPr="009F6DA3" w:rsidRDefault="00A9057E" w:rsidP="009F6DA3">
      <w:pPr>
        <w:pStyle w:val="afa"/>
        <w:spacing w:after="120" w:line="360" w:lineRule="auto"/>
        <w:ind w:left="360"/>
        <w:jc w:val="center"/>
        <w:rPr>
          <w:b w:val="0"/>
          <w:sz w:val="28"/>
          <w:szCs w:val="28"/>
        </w:rPr>
      </w:pPr>
      <w:r w:rsidRPr="009F6DA3">
        <w:rPr>
          <w:b w:val="0"/>
          <w:sz w:val="28"/>
          <w:szCs w:val="28"/>
        </w:rPr>
        <w:t>Рис. </w:t>
      </w:r>
      <w:r w:rsidR="006134EC">
        <w:rPr>
          <w:b w:val="0"/>
          <w:sz w:val="28"/>
          <w:szCs w:val="28"/>
        </w:rPr>
        <w:t>7</w:t>
      </w:r>
      <w:r>
        <w:rPr>
          <w:b w:val="0"/>
          <w:sz w:val="28"/>
          <w:szCs w:val="28"/>
        </w:rPr>
        <w:t>.</w:t>
      </w:r>
      <w:r w:rsidRPr="009F6DA3">
        <w:rPr>
          <w:b w:val="0"/>
          <w:sz w:val="28"/>
          <w:szCs w:val="28"/>
        </w:rPr>
        <w:t>5.</w:t>
      </w:r>
      <w:r w:rsidRPr="009F6DA3">
        <w:rPr>
          <w:b w:val="0"/>
          <w:bCs w:val="0"/>
          <w:sz w:val="28"/>
          <w:szCs w:val="28"/>
        </w:rPr>
        <w:t xml:space="preserve"> Сальдо </w:t>
      </w:r>
      <w:proofErr w:type="spellStart"/>
      <w:r w:rsidR="00705492">
        <w:rPr>
          <w:b w:val="0"/>
          <w:bCs w:val="0"/>
          <w:sz w:val="28"/>
          <w:szCs w:val="28"/>
        </w:rPr>
        <w:t>внутристрановой</w:t>
      </w:r>
      <w:proofErr w:type="spellEnd"/>
      <w:r w:rsidR="00705492">
        <w:rPr>
          <w:b w:val="0"/>
          <w:bCs w:val="0"/>
          <w:sz w:val="28"/>
          <w:szCs w:val="28"/>
        </w:rPr>
        <w:t xml:space="preserve"> </w:t>
      </w:r>
      <w:r w:rsidRPr="009F6DA3">
        <w:rPr>
          <w:b w:val="0"/>
          <w:bCs w:val="0"/>
          <w:sz w:val="28"/>
          <w:szCs w:val="28"/>
        </w:rPr>
        <w:t>трудовой миграции по федеральным округам РФ</w:t>
      </w:r>
      <w:r w:rsidRPr="009F6DA3">
        <w:rPr>
          <w:b w:val="0"/>
          <w:sz w:val="28"/>
          <w:szCs w:val="28"/>
        </w:rPr>
        <w:t xml:space="preserve"> </w:t>
      </w:r>
    </w:p>
    <w:p w14:paraId="7AD7A8A5" w14:textId="77777777" w:rsidR="00A9057E" w:rsidRPr="009F6DA3" w:rsidRDefault="00A9057E" w:rsidP="009F6DA3">
      <w:pPr>
        <w:spacing w:line="360" w:lineRule="auto"/>
        <w:ind w:left="360"/>
        <w:rPr>
          <w:rFonts w:ascii="Times New Roman" w:hAnsi="Times New Roman" w:cs="Times New Roman"/>
          <w:iCs/>
          <w:color w:val="000000"/>
          <w:sz w:val="28"/>
          <w:szCs w:val="28"/>
        </w:rPr>
      </w:pPr>
      <w:r w:rsidRPr="009F6DA3">
        <w:rPr>
          <w:rFonts w:ascii="Times New Roman" w:hAnsi="Times New Roman" w:cs="Times New Roman"/>
          <w:iCs/>
          <w:color w:val="000000"/>
          <w:sz w:val="28"/>
          <w:szCs w:val="28"/>
        </w:rPr>
        <w:br w:type="page"/>
      </w:r>
    </w:p>
    <w:p w14:paraId="3E6DCE35" w14:textId="27634360"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Основной причиной временной трудовой миграции является отсутствие в регионе постоянного проживания привлекательных рабочих мест, соответствующих профессиональным и квалификационным навыкам с желаемым уровнем оплаты труда, а ее основная цель – получение мигрантом заработка за пределами региона своего постоянного проживания. Поэтому можно предположить, что трудовая миграция является проявлением</w:t>
      </w:r>
      <w:r>
        <w:rPr>
          <w:rFonts w:ascii="Times New Roman" w:hAnsi="Times New Roman" w:cs="Times New Roman"/>
          <w:sz w:val="28"/>
          <w:szCs w:val="28"/>
        </w:rPr>
        <w:t xml:space="preserve"> рыночной</w:t>
      </w:r>
      <w:r w:rsidRPr="009F6DA3">
        <w:rPr>
          <w:rFonts w:ascii="Times New Roman" w:hAnsi="Times New Roman" w:cs="Times New Roman"/>
          <w:sz w:val="28"/>
          <w:szCs w:val="28"/>
        </w:rPr>
        <w:t xml:space="preserve"> саморегуляции региональных рынков труда, так как позволяет снижать устойчиво существующие или временные (носящие, например, сезонный характер) дисбалансы спроса и предложения рабочей силы.</w:t>
      </w:r>
    </w:p>
    <w:p w14:paraId="158CA24B" w14:textId="7998ECBD"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Для проверки этой гипотезы были рассчитаны два индекса: фактическая доля региональных структурных безработных (то есть безработных, которые не соответствуют удельному объему вакансий в регионе</w:t>
      </w:r>
      <w:r w:rsidR="001D2BD3">
        <w:rPr>
          <w:rStyle w:val="ad"/>
          <w:rFonts w:ascii="Times New Roman" w:hAnsi="Times New Roman" w:cs="Times New Roman"/>
          <w:sz w:val="28"/>
          <w:szCs w:val="28"/>
        </w:rPr>
        <w:footnoteReference w:id="48"/>
      </w:r>
      <w:r w:rsidRPr="009F6DA3">
        <w:rPr>
          <w:rFonts w:ascii="Times New Roman" w:hAnsi="Times New Roman" w:cs="Times New Roman"/>
          <w:sz w:val="28"/>
          <w:szCs w:val="28"/>
        </w:rPr>
        <w:t xml:space="preserve">) в </w:t>
      </w:r>
      <w:proofErr w:type="spellStart"/>
      <w:r w:rsidRPr="009F6DA3">
        <w:rPr>
          <w:rFonts w:ascii="Times New Roman" w:hAnsi="Times New Roman" w:cs="Times New Roman"/>
          <w:sz w:val="28"/>
          <w:szCs w:val="28"/>
        </w:rPr>
        <w:t>общестрановой</w:t>
      </w:r>
      <w:proofErr w:type="spellEnd"/>
      <w:r w:rsidRPr="009F6DA3">
        <w:rPr>
          <w:rFonts w:ascii="Times New Roman" w:hAnsi="Times New Roman" w:cs="Times New Roman"/>
          <w:sz w:val="28"/>
          <w:szCs w:val="28"/>
        </w:rPr>
        <w:t xml:space="preserve"> численности безработных</w:t>
      </w:r>
      <w:r w:rsidR="00E95E32">
        <w:rPr>
          <w:rFonts w:ascii="Times New Roman" w:hAnsi="Times New Roman" w:cs="Times New Roman"/>
          <w:sz w:val="28"/>
          <w:szCs w:val="28"/>
        </w:rPr>
        <w:t>;</w:t>
      </w:r>
      <w:r w:rsidRPr="009F6DA3">
        <w:rPr>
          <w:rFonts w:ascii="Times New Roman" w:hAnsi="Times New Roman" w:cs="Times New Roman"/>
          <w:sz w:val="28"/>
          <w:szCs w:val="28"/>
        </w:rPr>
        <w:t xml:space="preserve"> и гипотетическая</w:t>
      </w:r>
      <w:r w:rsidR="00E95E32">
        <w:rPr>
          <w:rFonts w:ascii="Times New Roman" w:hAnsi="Times New Roman" w:cs="Times New Roman"/>
          <w:sz w:val="28"/>
          <w:szCs w:val="28"/>
        </w:rPr>
        <w:t xml:space="preserve"> доля</w:t>
      </w:r>
      <w:r w:rsidRPr="009F6DA3">
        <w:rPr>
          <w:rFonts w:ascii="Times New Roman" w:hAnsi="Times New Roman" w:cs="Times New Roman"/>
          <w:sz w:val="28"/>
          <w:szCs w:val="28"/>
        </w:rPr>
        <w:t xml:space="preserve">, в условиях отсутствия внутренней трудовой миграции (рис. </w:t>
      </w:r>
      <w:r w:rsidR="006134EC">
        <w:rPr>
          <w:rFonts w:ascii="Times New Roman" w:hAnsi="Times New Roman" w:cs="Times New Roman"/>
          <w:sz w:val="28"/>
          <w:szCs w:val="28"/>
        </w:rPr>
        <w:t>7</w:t>
      </w:r>
      <w:r>
        <w:rPr>
          <w:rFonts w:ascii="Times New Roman" w:hAnsi="Times New Roman" w:cs="Times New Roman"/>
          <w:sz w:val="28"/>
          <w:szCs w:val="28"/>
        </w:rPr>
        <w:t>.</w:t>
      </w:r>
      <w:r w:rsidRPr="009F6DA3">
        <w:rPr>
          <w:rFonts w:ascii="Times New Roman" w:hAnsi="Times New Roman" w:cs="Times New Roman"/>
          <w:sz w:val="28"/>
          <w:szCs w:val="28"/>
        </w:rPr>
        <w:t xml:space="preserve">6). Их сравнение подтверждает </w:t>
      </w:r>
      <w:r w:rsidR="00E95E32">
        <w:rPr>
          <w:rFonts w:ascii="Times New Roman" w:hAnsi="Times New Roman" w:cs="Times New Roman"/>
          <w:sz w:val="28"/>
          <w:szCs w:val="28"/>
        </w:rPr>
        <w:t>предположение</w:t>
      </w:r>
      <w:r w:rsidRPr="009F6DA3">
        <w:rPr>
          <w:rFonts w:ascii="Times New Roman" w:hAnsi="Times New Roman" w:cs="Times New Roman"/>
          <w:sz w:val="28"/>
          <w:szCs w:val="28"/>
        </w:rPr>
        <w:t xml:space="preserve"> о том, что трудовая миграция снижает территориальные диспропорции спроса и предложения рабочей силы. В условиях отсутствия внутренних трудовых мигрантов доля структурных безработных в отдельные периоды (</w:t>
      </w:r>
      <w:proofErr w:type="gramStart"/>
      <w:r w:rsidRPr="009F6DA3">
        <w:rPr>
          <w:rFonts w:ascii="Times New Roman" w:hAnsi="Times New Roman" w:cs="Times New Roman"/>
          <w:sz w:val="28"/>
          <w:szCs w:val="28"/>
        </w:rPr>
        <w:t>2008-2013</w:t>
      </w:r>
      <w:proofErr w:type="gramEnd"/>
      <w:r w:rsidRPr="009F6DA3">
        <w:rPr>
          <w:rFonts w:ascii="Times New Roman" w:hAnsi="Times New Roman" w:cs="Times New Roman"/>
          <w:sz w:val="28"/>
          <w:szCs w:val="28"/>
        </w:rPr>
        <w:t xml:space="preserve"> гг., 2015-2019 гг.) составляла бы выше 50% от общего числа безработных. </w:t>
      </w:r>
    </w:p>
    <w:p w14:paraId="4F3AE552" w14:textId="77777777" w:rsidR="00A9057E" w:rsidRPr="009F6DA3" w:rsidRDefault="00A9057E" w:rsidP="009F6DA3">
      <w:pPr>
        <w:spacing w:line="360" w:lineRule="auto"/>
        <w:ind w:left="360"/>
        <w:jc w:val="both"/>
        <w:rPr>
          <w:rFonts w:ascii="Times New Roman" w:hAnsi="Times New Roman" w:cs="Times New Roman"/>
          <w:sz w:val="28"/>
          <w:szCs w:val="28"/>
        </w:rPr>
      </w:pPr>
    </w:p>
    <w:p w14:paraId="217C5EF8" w14:textId="5DCE5847" w:rsidR="00A9057E" w:rsidRPr="009F6DA3" w:rsidRDefault="00A9057E" w:rsidP="009F6DA3">
      <w:pPr>
        <w:spacing w:line="360" w:lineRule="auto"/>
        <w:ind w:left="360"/>
        <w:jc w:val="center"/>
        <w:rPr>
          <w:rFonts w:ascii="Times New Roman" w:hAnsi="Times New Roman" w:cs="Times New Roman"/>
          <w:spacing w:val="-4"/>
          <w:sz w:val="28"/>
          <w:szCs w:val="28"/>
        </w:rPr>
      </w:pPr>
      <w:r w:rsidRPr="009F6DA3">
        <w:rPr>
          <w:rFonts w:ascii="Times New Roman" w:hAnsi="Times New Roman" w:cs="Times New Roman"/>
          <w:noProof/>
          <w:sz w:val="28"/>
          <w:szCs w:val="28"/>
          <w:lang w:eastAsia="ru-RU"/>
        </w:rPr>
        <w:drawing>
          <wp:inline distT="0" distB="0" distL="0" distR="0" wp14:anchorId="71377B8E" wp14:editId="68855302">
            <wp:extent cx="5497195" cy="2710815"/>
            <wp:effectExtent l="0" t="0" r="0" b="0"/>
            <wp:docPr id="21" name="Диаграмма 21">
              <a:extLst xmlns:a="http://schemas.openxmlformats.org/drawingml/2006/main">
                <a:ext uri="{FF2B5EF4-FFF2-40B4-BE49-F238E27FC236}">
                  <a16:creationId xmlns:a16="http://schemas.microsoft.com/office/drawing/2014/main" id="{99E9361E-B4DC-4758-905D-A891FD3A8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B542450" w14:textId="379F59E3" w:rsidR="00A9057E" w:rsidRPr="009F6DA3" w:rsidRDefault="00A9057E" w:rsidP="009F6DA3">
      <w:pPr>
        <w:pStyle w:val="afa"/>
        <w:spacing w:after="120" w:line="360" w:lineRule="auto"/>
        <w:ind w:left="360"/>
        <w:jc w:val="center"/>
        <w:rPr>
          <w:b w:val="0"/>
          <w:sz w:val="28"/>
          <w:szCs w:val="28"/>
        </w:rPr>
      </w:pPr>
      <w:r w:rsidRPr="009F6DA3">
        <w:rPr>
          <w:b w:val="0"/>
          <w:sz w:val="28"/>
          <w:szCs w:val="28"/>
        </w:rPr>
        <w:t xml:space="preserve">Рис. </w:t>
      </w:r>
      <w:r w:rsidR="006134EC">
        <w:rPr>
          <w:b w:val="0"/>
          <w:sz w:val="28"/>
          <w:szCs w:val="28"/>
        </w:rPr>
        <w:t>7</w:t>
      </w:r>
      <w:r>
        <w:rPr>
          <w:b w:val="0"/>
          <w:sz w:val="28"/>
          <w:szCs w:val="28"/>
        </w:rPr>
        <w:t>.</w:t>
      </w:r>
      <w:r w:rsidRPr="009F6DA3">
        <w:rPr>
          <w:b w:val="0"/>
          <w:sz w:val="28"/>
          <w:szCs w:val="28"/>
        </w:rPr>
        <w:t>6. Доли структурных безработных в общей величине безработицы, фактическая и гипотетическая (в условиях отсутствия трудовой миграции)</w:t>
      </w:r>
      <w:r w:rsidRPr="009F6DA3">
        <w:rPr>
          <w:rStyle w:val="ad"/>
          <w:sz w:val="28"/>
          <w:szCs w:val="28"/>
        </w:rPr>
        <w:footnoteReference w:id="49"/>
      </w:r>
    </w:p>
    <w:p w14:paraId="2601F133" w14:textId="77777777" w:rsidR="00A9057E" w:rsidRPr="009F6DA3" w:rsidRDefault="00A9057E" w:rsidP="009F6DA3">
      <w:pPr>
        <w:spacing w:line="360" w:lineRule="auto"/>
        <w:ind w:left="360"/>
        <w:rPr>
          <w:rFonts w:ascii="Times New Roman" w:hAnsi="Times New Roman" w:cs="Times New Roman"/>
          <w:spacing w:val="-4"/>
          <w:sz w:val="28"/>
          <w:szCs w:val="28"/>
        </w:rPr>
      </w:pPr>
    </w:p>
    <w:p w14:paraId="795D2A46" w14:textId="7ABF0EB6" w:rsidR="00EA47F0"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В то же время, если временная трудовая миграция носит неорганизованный характер, в отличие от, например, плановых сезонных вахтовых работ, то в большинстве случаев, скорее всего речь идет о </w:t>
      </w:r>
      <w:r w:rsidR="001D2BD3">
        <w:rPr>
          <w:rFonts w:ascii="Times New Roman" w:hAnsi="Times New Roman" w:cs="Times New Roman"/>
          <w:sz w:val="28"/>
          <w:szCs w:val="28"/>
        </w:rPr>
        <w:t xml:space="preserve">маятниковой </w:t>
      </w:r>
      <w:r w:rsidRPr="009F6DA3">
        <w:rPr>
          <w:rFonts w:ascii="Times New Roman" w:hAnsi="Times New Roman" w:cs="Times New Roman"/>
          <w:sz w:val="28"/>
          <w:szCs w:val="28"/>
        </w:rPr>
        <w:t>миграции на небольшие расстояния. При этом либо экономические барьеры, либо отсутствие желания, или все в совокупности препятству</w:t>
      </w:r>
      <w:r w:rsidR="00E95E32">
        <w:rPr>
          <w:rFonts w:ascii="Times New Roman" w:hAnsi="Times New Roman" w:cs="Times New Roman"/>
          <w:sz w:val="28"/>
          <w:szCs w:val="28"/>
        </w:rPr>
        <w:t>ю</w:t>
      </w:r>
      <w:r w:rsidRPr="009F6DA3">
        <w:rPr>
          <w:rFonts w:ascii="Times New Roman" w:hAnsi="Times New Roman" w:cs="Times New Roman"/>
          <w:sz w:val="28"/>
          <w:szCs w:val="28"/>
        </w:rPr>
        <w:t xml:space="preserve">т мигранту сменить место жительства. </w:t>
      </w:r>
    </w:p>
    <w:p w14:paraId="338EE6BA" w14:textId="0EA4464B"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Однако такой способ заработка – не от хорошей жизни и вряд ли население прибегало бы к нему в случае наличия альтернативного варианта работы у себя в регионе. Поэтому рост масштабов временной трудовой миграции с некоторой долей условности свидетельствует о</w:t>
      </w:r>
      <w:r w:rsidR="001D2BD3">
        <w:rPr>
          <w:rFonts w:ascii="Times New Roman" w:hAnsi="Times New Roman" w:cs="Times New Roman"/>
          <w:sz w:val="28"/>
          <w:szCs w:val="28"/>
        </w:rPr>
        <w:t xml:space="preserve"> росте разрыва между регионами в уровне оплаты труда и качестве рабочих мест.</w:t>
      </w:r>
      <w:r w:rsidRPr="009F6DA3">
        <w:rPr>
          <w:rFonts w:ascii="Times New Roman" w:hAnsi="Times New Roman" w:cs="Times New Roman"/>
          <w:sz w:val="28"/>
          <w:szCs w:val="28"/>
        </w:rPr>
        <w:t xml:space="preserve"> Так, например, в 2008 г. наблюдался рост объемов трудовой миграции, что могло быть следствием поиска работы населением в кризисный период за пределами территории проживания. В этом случае трудовая миграция может рассматриваться как краткосрочный (в крайнем случае, среднесрочный) фактор снижения возникающих дисбалансов и улучшения экономического положения мигрантов: работа за пределами региона своего постоянного проживания является, скорее всего, </w:t>
      </w:r>
      <w:r w:rsidR="00D80BB9">
        <w:rPr>
          <w:rFonts w:ascii="Times New Roman" w:hAnsi="Times New Roman" w:cs="Times New Roman"/>
          <w:sz w:val="28"/>
          <w:szCs w:val="28"/>
        </w:rPr>
        <w:t xml:space="preserve">лучше </w:t>
      </w:r>
      <w:r w:rsidRPr="009F6DA3">
        <w:rPr>
          <w:rFonts w:ascii="Times New Roman" w:hAnsi="Times New Roman" w:cs="Times New Roman"/>
          <w:sz w:val="28"/>
          <w:szCs w:val="28"/>
        </w:rPr>
        <w:t>оплачиваемой, нежели вакансии в своем регионе</w:t>
      </w:r>
      <w:r w:rsidR="001D2BD3">
        <w:rPr>
          <w:rFonts w:ascii="Times New Roman" w:hAnsi="Times New Roman" w:cs="Times New Roman"/>
          <w:sz w:val="28"/>
          <w:szCs w:val="28"/>
        </w:rPr>
        <w:t xml:space="preserve"> (при их наличии в принципе)</w:t>
      </w:r>
      <w:r w:rsidRPr="009F6DA3">
        <w:rPr>
          <w:rFonts w:ascii="Times New Roman" w:hAnsi="Times New Roman" w:cs="Times New Roman"/>
          <w:sz w:val="28"/>
          <w:szCs w:val="28"/>
        </w:rPr>
        <w:t xml:space="preserve">, что увеличивает доход населения и повышает уровень потребления и сбережений, в частности в регионе своего постоянного проживания. </w:t>
      </w:r>
    </w:p>
    <w:p w14:paraId="0C364610" w14:textId="77777777"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В этой связи эффект от трудовой миграции сказывается не только на локальных рынках труда через снижение структурных диспропорций, но и имеет социально-экономические последствия на уровне и регионов, и отдельных домохозяйств. Население, получая денежные доходы в одном регионе, регионе-«реципиенте» временных трудовых мигрантов, частично или полностью их тратит в своем регионе (регионе-«доноре» временной рабочей силы). И в этом случае регион-«донор» получает дополнительный доход в результате увеличения масштабов конечного потребления населением, который частично компенсирует выпадающий из бюджетов НДФЛ, который мог быть уплачен в регионе доноре в случае наличия в нем походящего рабочего места.  </w:t>
      </w:r>
    </w:p>
    <w:p w14:paraId="192A9B26" w14:textId="42902E6E" w:rsidR="00A9057E" w:rsidRPr="009F6DA3" w:rsidRDefault="00A9057E" w:rsidP="00A22A0D">
      <w:pPr>
        <w:spacing w:line="360" w:lineRule="auto"/>
        <w:ind w:left="360" w:firstLine="348"/>
        <w:jc w:val="both"/>
        <w:rPr>
          <w:rFonts w:ascii="Times New Roman" w:hAnsi="Times New Roman" w:cs="Times New Roman"/>
          <w:sz w:val="28"/>
          <w:szCs w:val="28"/>
        </w:rPr>
      </w:pPr>
      <w:r w:rsidRPr="00701118">
        <w:rPr>
          <w:rFonts w:ascii="Times New Roman" w:hAnsi="Times New Roman" w:cs="Times New Roman"/>
          <w:sz w:val="28"/>
          <w:szCs w:val="28"/>
        </w:rPr>
        <w:t>Расходовани</w:t>
      </w:r>
      <w:r w:rsidRPr="009F6DA3">
        <w:rPr>
          <w:rFonts w:ascii="Times New Roman" w:hAnsi="Times New Roman" w:cs="Times New Roman"/>
          <w:sz w:val="28"/>
          <w:szCs w:val="28"/>
        </w:rPr>
        <w:t xml:space="preserve">е в регионе денежных средств, заработанных за его пределами, в рамках регионального баланса денежных доходов и расходов отражается в повышенном уровне расходов на товары и услуги и расходов на покупку иностранной валюты, которому будет соответствовать ситуация превышения расходов над доходами. </w:t>
      </w:r>
      <w:r w:rsidR="00DD3B48">
        <w:rPr>
          <w:rFonts w:ascii="Times New Roman" w:hAnsi="Times New Roman" w:cs="Times New Roman"/>
          <w:sz w:val="28"/>
          <w:szCs w:val="28"/>
        </w:rPr>
        <w:t xml:space="preserve">С </w:t>
      </w:r>
      <w:r w:rsidRPr="009F6DA3">
        <w:rPr>
          <w:rFonts w:ascii="Times New Roman" w:hAnsi="Times New Roman" w:cs="Times New Roman"/>
          <w:sz w:val="28"/>
          <w:szCs w:val="28"/>
        </w:rPr>
        <w:t xml:space="preserve">точки зрения денежных расходов, эти регионы можно назвать «реципиентами» денежных средств. И, наоборот, в регионе с положительным сальдо внутренней трудовой миграции (регион-«донор» денежных средств), структура расходов населения должна иметь противоположное искажение – относительно низкий уровень расходов на товары и услуги. Таким образом миграция перераспределяет </w:t>
      </w:r>
      <w:r w:rsidR="00C43C49">
        <w:rPr>
          <w:rFonts w:ascii="Times New Roman" w:hAnsi="Times New Roman" w:cs="Times New Roman"/>
          <w:sz w:val="28"/>
          <w:szCs w:val="28"/>
        </w:rPr>
        <w:t xml:space="preserve">часть денежных доходов </w:t>
      </w:r>
      <w:r w:rsidRPr="009F6DA3">
        <w:rPr>
          <w:rFonts w:ascii="Times New Roman" w:hAnsi="Times New Roman" w:cs="Times New Roman"/>
          <w:sz w:val="28"/>
          <w:szCs w:val="28"/>
        </w:rPr>
        <w:t>из регионов, привлекающих к себе трудовых мигрантов на временные заработки, в регионы</w:t>
      </w:r>
      <w:r w:rsidR="00C43C49">
        <w:rPr>
          <w:rFonts w:ascii="Times New Roman" w:hAnsi="Times New Roman" w:cs="Times New Roman"/>
          <w:sz w:val="28"/>
          <w:szCs w:val="28"/>
        </w:rPr>
        <w:t xml:space="preserve"> «доноры» рабочей силы.</w:t>
      </w:r>
      <w:r w:rsidRPr="009F6DA3">
        <w:rPr>
          <w:rFonts w:ascii="Times New Roman" w:hAnsi="Times New Roman" w:cs="Times New Roman"/>
          <w:sz w:val="28"/>
          <w:szCs w:val="28"/>
        </w:rPr>
        <w:t xml:space="preserve">  </w:t>
      </w:r>
    </w:p>
    <w:p w14:paraId="128EB149" w14:textId="77777777"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Реципиентами внутренних временных трудовых мигрантов и соответственно донорами денежных средств являются </w:t>
      </w:r>
      <w:proofErr w:type="spellStart"/>
      <w:r w:rsidRPr="009F6DA3">
        <w:rPr>
          <w:rFonts w:ascii="Times New Roman" w:hAnsi="Times New Roman" w:cs="Times New Roman"/>
          <w:sz w:val="28"/>
          <w:szCs w:val="28"/>
        </w:rPr>
        <w:t>Респ</w:t>
      </w:r>
      <w:proofErr w:type="spellEnd"/>
      <w:r w:rsidRPr="009F6DA3">
        <w:rPr>
          <w:rFonts w:ascii="Times New Roman" w:hAnsi="Times New Roman" w:cs="Times New Roman"/>
          <w:sz w:val="28"/>
          <w:szCs w:val="28"/>
        </w:rPr>
        <w:t xml:space="preserve">. Коми, НАО, Мурманская, Самарская обл., ХМАО, ЯНАО, Челябинская обл., </w:t>
      </w:r>
      <w:proofErr w:type="spellStart"/>
      <w:r w:rsidRPr="009F6DA3">
        <w:rPr>
          <w:rFonts w:ascii="Times New Roman" w:hAnsi="Times New Roman" w:cs="Times New Roman"/>
          <w:sz w:val="28"/>
          <w:szCs w:val="28"/>
        </w:rPr>
        <w:t>Респ</w:t>
      </w:r>
      <w:proofErr w:type="spellEnd"/>
      <w:r w:rsidRPr="009F6DA3">
        <w:rPr>
          <w:rFonts w:ascii="Times New Roman" w:hAnsi="Times New Roman" w:cs="Times New Roman"/>
          <w:sz w:val="28"/>
          <w:szCs w:val="28"/>
        </w:rPr>
        <w:t xml:space="preserve">. Алтай, Тыва, Красноярский край, Томская обл., </w:t>
      </w:r>
      <w:proofErr w:type="spellStart"/>
      <w:r w:rsidRPr="009F6DA3">
        <w:rPr>
          <w:rFonts w:ascii="Times New Roman" w:hAnsi="Times New Roman" w:cs="Times New Roman"/>
          <w:sz w:val="28"/>
          <w:szCs w:val="28"/>
        </w:rPr>
        <w:t>Респ</w:t>
      </w:r>
      <w:proofErr w:type="spellEnd"/>
      <w:r w:rsidRPr="009F6DA3">
        <w:rPr>
          <w:rFonts w:ascii="Times New Roman" w:hAnsi="Times New Roman" w:cs="Times New Roman"/>
          <w:sz w:val="28"/>
          <w:szCs w:val="28"/>
        </w:rPr>
        <w:t>. Саха (Якутия), Камчатский, Хабаровский край, Амурская, Магаданская, Сахалинская области, Еврейская АО, Чукотский АО (</w:t>
      </w:r>
      <w:proofErr w:type="gramStart"/>
      <w:r w:rsidRPr="009F6DA3">
        <w:rPr>
          <w:rFonts w:ascii="Times New Roman" w:hAnsi="Times New Roman" w:cs="Times New Roman"/>
          <w:sz w:val="28"/>
          <w:szCs w:val="28"/>
        </w:rPr>
        <w:t>2011-2016</w:t>
      </w:r>
      <w:proofErr w:type="gramEnd"/>
      <w:r w:rsidRPr="009F6DA3">
        <w:rPr>
          <w:rFonts w:ascii="Times New Roman" w:hAnsi="Times New Roman" w:cs="Times New Roman"/>
          <w:sz w:val="28"/>
          <w:szCs w:val="28"/>
        </w:rPr>
        <w:t xml:space="preserve"> гг.). Большинство этих регионов традиционно привлекательны для вахтового метода работы. В этих регионах население, получая денежные доходы в результате участия в видах деятельности, относящихся к производству ВРП, расходует часть полученных денежных средств в других регионах.</w:t>
      </w:r>
    </w:p>
    <w:p w14:paraId="07340501" w14:textId="77777777"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К регионам донорам временных трудовых мигрантов, в которых денежные расходы населения превышают доходы, относятся Калининградская, Ростовская, Свердловская, Новосибирская области, Ставропольский край, </w:t>
      </w:r>
      <w:proofErr w:type="spellStart"/>
      <w:r w:rsidRPr="009F6DA3">
        <w:rPr>
          <w:rFonts w:ascii="Times New Roman" w:hAnsi="Times New Roman" w:cs="Times New Roman"/>
          <w:sz w:val="28"/>
          <w:szCs w:val="28"/>
        </w:rPr>
        <w:t>Респ</w:t>
      </w:r>
      <w:proofErr w:type="spellEnd"/>
      <w:r w:rsidRPr="009F6DA3">
        <w:rPr>
          <w:rFonts w:ascii="Times New Roman" w:hAnsi="Times New Roman" w:cs="Times New Roman"/>
          <w:sz w:val="28"/>
          <w:szCs w:val="28"/>
        </w:rPr>
        <w:t>. Бурятия, Хакасия, Приморский край.</w:t>
      </w:r>
    </w:p>
    <w:p w14:paraId="71B0B5C7" w14:textId="4C144AFC"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Четыре субъекта РФ, г. Москва, г. Санкт-Петербург, Краснодарский край и Тюменская область, традиционно привлекательны для трудовых мигрантов. Одновременно в них фиксируется высокий уровень расходов на товары и услуги, не имеющий прямого отношения к </w:t>
      </w:r>
      <w:r w:rsidR="00911B24">
        <w:rPr>
          <w:rFonts w:ascii="Times New Roman" w:hAnsi="Times New Roman" w:cs="Times New Roman"/>
          <w:sz w:val="28"/>
          <w:szCs w:val="28"/>
        </w:rPr>
        <w:t xml:space="preserve">их </w:t>
      </w:r>
      <w:r w:rsidRPr="009F6DA3">
        <w:rPr>
          <w:rFonts w:ascii="Times New Roman" w:hAnsi="Times New Roman" w:cs="Times New Roman"/>
          <w:sz w:val="28"/>
          <w:szCs w:val="28"/>
        </w:rPr>
        <w:t>производству</w:t>
      </w:r>
      <w:r w:rsidRPr="009F6DA3">
        <w:rPr>
          <w:rStyle w:val="ad"/>
          <w:rFonts w:ascii="Times New Roman" w:hAnsi="Times New Roman" w:cs="Times New Roman"/>
          <w:sz w:val="28"/>
          <w:szCs w:val="28"/>
        </w:rPr>
        <w:footnoteReference w:id="50"/>
      </w:r>
      <w:r w:rsidRPr="009F6DA3">
        <w:rPr>
          <w:rFonts w:ascii="Times New Roman" w:hAnsi="Times New Roman" w:cs="Times New Roman"/>
          <w:sz w:val="28"/>
          <w:szCs w:val="28"/>
        </w:rPr>
        <w:t xml:space="preserve"> в силу большей развитости сферы торговли и услуг в мегаполисах.</w:t>
      </w:r>
    </w:p>
    <w:p w14:paraId="233A78E6" w14:textId="77777777"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На базе существующей статистики сделана оценка масштабов перераспределения денежных средств между регионами в результате трудовой миграции, что позволяет глубже оценить ее роль и степень влияния на уровень жизни населения и экономическое развитие регионов.</w:t>
      </w:r>
    </w:p>
    <w:p w14:paraId="153CCEB9" w14:textId="4BC5B122"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Согласно оценкам ИНП РАН масштаб перераспределения денежных средств между регионами в результате временной трудовой миграции динамично рос, что коррелирует с ростом объемов временных трудовых мигрантов, и к 2018 г. составил чуть более 200 млрд. руб. (рис. </w:t>
      </w:r>
      <w:r w:rsidR="006134EC">
        <w:rPr>
          <w:rFonts w:ascii="Times New Roman" w:hAnsi="Times New Roman" w:cs="Times New Roman"/>
          <w:sz w:val="28"/>
          <w:szCs w:val="28"/>
        </w:rPr>
        <w:t>7.</w:t>
      </w:r>
      <w:r w:rsidRPr="009F6DA3">
        <w:rPr>
          <w:rFonts w:ascii="Times New Roman" w:hAnsi="Times New Roman" w:cs="Times New Roman"/>
          <w:sz w:val="28"/>
          <w:szCs w:val="28"/>
        </w:rPr>
        <w:t>8).</w:t>
      </w:r>
    </w:p>
    <w:p w14:paraId="58D34767" w14:textId="3875B05E"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noProof/>
          <w:sz w:val="28"/>
          <w:szCs w:val="28"/>
          <w:lang w:eastAsia="ru-RU"/>
        </w:rPr>
        <w:drawing>
          <wp:inline distT="0" distB="0" distL="0" distR="0" wp14:anchorId="788BDB5D" wp14:editId="1FC7362A">
            <wp:extent cx="4430395" cy="2101215"/>
            <wp:effectExtent l="0" t="0" r="8255" b="0"/>
            <wp:docPr id="20" name="Диаграмма 20">
              <a:extLst xmlns:a="http://schemas.openxmlformats.org/drawingml/2006/main">
                <a:ext uri="{FF2B5EF4-FFF2-40B4-BE49-F238E27FC236}">
                  <a16:creationId xmlns:a16="http://schemas.microsoft.com/office/drawing/2014/main" id="{BD918B2E-B2EF-4311-AE6F-F267142274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671D19" w14:textId="1CC2FCF5" w:rsidR="00A9057E" w:rsidRPr="009F6DA3" w:rsidRDefault="00A9057E" w:rsidP="009F6DA3">
      <w:pPr>
        <w:spacing w:line="360" w:lineRule="auto"/>
        <w:ind w:left="360"/>
        <w:jc w:val="center"/>
        <w:rPr>
          <w:rFonts w:ascii="Times New Roman" w:hAnsi="Times New Roman" w:cs="Times New Roman"/>
          <w:sz w:val="28"/>
          <w:szCs w:val="28"/>
        </w:rPr>
      </w:pPr>
      <w:r w:rsidRPr="009F6DA3">
        <w:rPr>
          <w:rFonts w:ascii="Times New Roman" w:hAnsi="Times New Roman" w:cs="Times New Roman"/>
          <w:sz w:val="28"/>
          <w:szCs w:val="28"/>
        </w:rPr>
        <w:t xml:space="preserve">Рис. </w:t>
      </w:r>
      <w:r w:rsidR="006134EC">
        <w:rPr>
          <w:rFonts w:ascii="Times New Roman" w:hAnsi="Times New Roman" w:cs="Times New Roman"/>
          <w:sz w:val="28"/>
          <w:szCs w:val="28"/>
        </w:rPr>
        <w:t>7.</w:t>
      </w:r>
      <w:r w:rsidRPr="009F6DA3">
        <w:rPr>
          <w:rFonts w:ascii="Times New Roman" w:hAnsi="Times New Roman" w:cs="Times New Roman"/>
          <w:sz w:val="28"/>
          <w:szCs w:val="28"/>
        </w:rPr>
        <w:t xml:space="preserve">8. </w:t>
      </w:r>
      <w:r w:rsidRPr="009F6DA3">
        <w:rPr>
          <w:rFonts w:ascii="Times New Roman" w:hAnsi="Times New Roman" w:cs="Times New Roman"/>
          <w:bCs/>
          <w:sz w:val="28"/>
          <w:szCs w:val="28"/>
        </w:rPr>
        <w:t xml:space="preserve">Масштабы перераспределения денежных средств между регионами в результате временной трудовой миграции, млрд. руб. </w:t>
      </w:r>
    </w:p>
    <w:p w14:paraId="5AD42A63" w14:textId="77777777" w:rsidR="00A9057E" w:rsidRPr="009F6DA3" w:rsidRDefault="00A9057E" w:rsidP="009F6DA3">
      <w:pPr>
        <w:spacing w:line="360" w:lineRule="auto"/>
        <w:ind w:left="360"/>
        <w:jc w:val="both"/>
        <w:rPr>
          <w:rFonts w:ascii="Times New Roman" w:hAnsi="Times New Roman" w:cs="Times New Roman"/>
          <w:sz w:val="28"/>
          <w:szCs w:val="28"/>
        </w:rPr>
      </w:pPr>
    </w:p>
    <w:p w14:paraId="186AFDCC" w14:textId="5F8817A1" w:rsidR="00A9057E" w:rsidRPr="009F6DA3" w:rsidRDefault="00A9057E" w:rsidP="009F6DA3">
      <w:pPr>
        <w:spacing w:line="360" w:lineRule="auto"/>
        <w:ind w:left="360"/>
        <w:jc w:val="both"/>
        <w:rPr>
          <w:rFonts w:ascii="Times New Roman" w:hAnsi="Times New Roman" w:cs="Times New Roman"/>
          <w:sz w:val="28"/>
          <w:szCs w:val="28"/>
        </w:rPr>
      </w:pPr>
      <w:r w:rsidRPr="009F6DA3">
        <w:rPr>
          <w:rFonts w:ascii="Times New Roman" w:hAnsi="Times New Roman" w:cs="Times New Roman"/>
          <w:sz w:val="28"/>
          <w:szCs w:val="28"/>
        </w:rPr>
        <w:t xml:space="preserve">При этом оценки также показали, что для части регионов перераспределяемые денежные средства за счет внутренней миграции сократили разрыв между региональным и страновым уровнем средней заработной платы. Так, для регионов с более низкой по сравнению со страновым средним уровнем зарплаты (по большей части это регионы-«доноры» рабочей силы) дополнительные денежные средства позволили сократить разрыв, путем перераспределения части денежных средств из регионов с более высокой заработной платой (рис. </w:t>
      </w:r>
      <w:r w:rsidR="006134EC">
        <w:rPr>
          <w:rFonts w:ascii="Times New Roman" w:hAnsi="Times New Roman" w:cs="Times New Roman"/>
          <w:sz w:val="28"/>
          <w:szCs w:val="28"/>
        </w:rPr>
        <w:t>7.</w:t>
      </w:r>
      <w:r w:rsidRPr="009F6DA3">
        <w:rPr>
          <w:rFonts w:ascii="Times New Roman" w:hAnsi="Times New Roman" w:cs="Times New Roman"/>
          <w:sz w:val="28"/>
          <w:szCs w:val="28"/>
        </w:rPr>
        <w:t>9).</w:t>
      </w:r>
    </w:p>
    <w:p w14:paraId="5B9728D0" w14:textId="23D99E34" w:rsidR="00A9057E" w:rsidRPr="009F6DA3" w:rsidRDefault="007E22E0" w:rsidP="009F6DA3">
      <w:pPr>
        <w:spacing w:line="360" w:lineRule="auto"/>
        <w:ind w:left="360"/>
        <w:jc w:val="both"/>
        <w:rPr>
          <w:rFonts w:ascii="Times New Roman" w:hAnsi="Times New Roman" w:cs="Times New Roman"/>
          <w:sz w:val="28"/>
          <w:szCs w:val="28"/>
        </w:rPr>
      </w:pPr>
      <w:r>
        <w:rPr>
          <w:noProof/>
          <w:lang w:eastAsia="ru-RU"/>
        </w:rPr>
        <w:drawing>
          <wp:inline distT="0" distB="0" distL="0" distR="0" wp14:anchorId="6E96FF7D" wp14:editId="4D95C4DD">
            <wp:extent cx="5581650" cy="3114675"/>
            <wp:effectExtent l="0" t="0" r="0" b="0"/>
            <wp:docPr id="2" name="Диаграмма 2">
              <a:extLst xmlns:a="http://schemas.openxmlformats.org/drawingml/2006/main">
                <a:ext uri="{FF2B5EF4-FFF2-40B4-BE49-F238E27FC236}">
                  <a16:creationId xmlns:a16="http://schemas.microsoft.com/office/drawing/2014/main" id="{1F436107-DE56-48BC-86B0-43D0AB5033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05AC1F" w14:textId="1ACF2E4A" w:rsidR="00A9057E" w:rsidRPr="009F6DA3" w:rsidRDefault="00A9057E" w:rsidP="009F6DA3">
      <w:pPr>
        <w:spacing w:line="360" w:lineRule="auto"/>
        <w:ind w:left="360"/>
        <w:jc w:val="center"/>
        <w:rPr>
          <w:rFonts w:ascii="Times New Roman" w:hAnsi="Times New Roman" w:cs="Times New Roman"/>
          <w:bCs/>
          <w:sz w:val="28"/>
          <w:szCs w:val="28"/>
        </w:rPr>
      </w:pPr>
      <w:r w:rsidRPr="009F6DA3">
        <w:rPr>
          <w:rFonts w:ascii="Times New Roman" w:hAnsi="Times New Roman" w:cs="Times New Roman"/>
          <w:sz w:val="28"/>
          <w:szCs w:val="28"/>
        </w:rPr>
        <w:t xml:space="preserve">Рис. </w:t>
      </w:r>
      <w:r w:rsidR="006134EC">
        <w:rPr>
          <w:rFonts w:ascii="Times New Roman" w:hAnsi="Times New Roman" w:cs="Times New Roman"/>
          <w:sz w:val="28"/>
          <w:szCs w:val="28"/>
        </w:rPr>
        <w:t>7.</w:t>
      </w:r>
      <w:r w:rsidRPr="009F6DA3">
        <w:rPr>
          <w:rFonts w:ascii="Times New Roman" w:hAnsi="Times New Roman" w:cs="Times New Roman"/>
          <w:sz w:val="28"/>
          <w:szCs w:val="28"/>
        </w:rPr>
        <w:t xml:space="preserve">9. </w:t>
      </w:r>
      <w:r w:rsidRPr="009F6DA3">
        <w:rPr>
          <w:rFonts w:ascii="Times New Roman" w:hAnsi="Times New Roman" w:cs="Times New Roman"/>
          <w:bCs/>
          <w:sz w:val="28"/>
          <w:szCs w:val="28"/>
        </w:rPr>
        <w:t>Оценка отклонения средней заработной платы в регионе от средней по РФ величине, тыс. руб. (2017 г.)</w:t>
      </w:r>
    </w:p>
    <w:p w14:paraId="61A90511" w14:textId="77777777" w:rsidR="00A9057E" w:rsidRPr="009F6DA3" w:rsidRDefault="00A9057E" w:rsidP="009F6DA3">
      <w:pPr>
        <w:spacing w:line="360" w:lineRule="auto"/>
        <w:ind w:left="360"/>
        <w:jc w:val="center"/>
        <w:rPr>
          <w:rFonts w:ascii="Times New Roman" w:hAnsi="Times New Roman" w:cs="Times New Roman"/>
          <w:sz w:val="28"/>
          <w:szCs w:val="28"/>
        </w:rPr>
      </w:pPr>
    </w:p>
    <w:p w14:paraId="2C3434EB" w14:textId="00E71931"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Закрытие региональных границ во втором квартале 2020 г. привело к тому, что регионы-реципиенты недополучили денежные средства, традиционно вывозимые из регионов-доноров внутренними мигрантами. Оценить величину </w:t>
      </w:r>
      <w:r w:rsidR="00EA47F0">
        <w:rPr>
          <w:rFonts w:ascii="Times New Roman" w:hAnsi="Times New Roman" w:cs="Times New Roman"/>
          <w:sz w:val="28"/>
          <w:szCs w:val="28"/>
        </w:rPr>
        <w:t>потерь</w:t>
      </w:r>
      <w:r w:rsidRPr="009F6DA3">
        <w:rPr>
          <w:rFonts w:ascii="Times New Roman" w:hAnsi="Times New Roman" w:cs="Times New Roman"/>
          <w:sz w:val="28"/>
          <w:szCs w:val="28"/>
        </w:rPr>
        <w:t xml:space="preserve"> </w:t>
      </w:r>
      <w:r w:rsidR="00EA47F0">
        <w:rPr>
          <w:rFonts w:ascii="Times New Roman" w:hAnsi="Times New Roman" w:cs="Times New Roman"/>
          <w:sz w:val="28"/>
          <w:szCs w:val="28"/>
        </w:rPr>
        <w:t>в</w:t>
      </w:r>
      <w:r w:rsidRPr="009F6DA3">
        <w:rPr>
          <w:rFonts w:ascii="Times New Roman" w:hAnsi="Times New Roman" w:cs="Times New Roman"/>
          <w:sz w:val="28"/>
          <w:szCs w:val="28"/>
        </w:rPr>
        <w:t xml:space="preserve"> 2020 г. достаточно сложно. Однако, расчеты за 2017 г. показали, что на тот момент эта сумма составила бы 150 млрд. руб. Соответственно речь идет о части выпадающих доходов определенной группы населения, которые работают за пределами региона своего постоянного проживания, и, соответственно, о сокращении внутреннего регионального спроса. В рамках оперативной региональной политики должны быть предусмотрены меры, направленные на компенсацию снижения уровня жизни населения в результате снижения доходов населения</w:t>
      </w:r>
      <w:r w:rsidR="00EA47F0">
        <w:rPr>
          <w:rFonts w:ascii="Times New Roman" w:hAnsi="Times New Roman" w:cs="Times New Roman"/>
          <w:sz w:val="28"/>
          <w:szCs w:val="28"/>
        </w:rPr>
        <w:t xml:space="preserve"> от недополучения доходов, связанных с ограничениями на трудовую миграцию населения</w:t>
      </w:r>
      <w:r w:rsidRPr="009F6DA3">
        <w:rPr>
          <w:rFonts w:ascii="Times New Roman" w:hAnsi="Times New Roman" w:cs="Times New Roman"/>
          <w:sz w:val="28"/>
          <w:szCs w:val="28"/>
        </w:rPr>
        <w:t>.</w:t>
      </w:r>
    </w:p>
    <w:p w14:paraId="69DEE9BE" w14:textId="5A445781" w:rsidR="00A9057E" w:rsidRPr="009F6DA3"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 xml:space="preserve">Представленные оценки выполнены на базе </w:t>
      </w:r>
      <w:r w:rsidR="007E22E0">
        <w:rPr>
          <w:rFonts w:ascii="Times New Roman" w:hAnsi="Times New Roman" w:cs="Times New Roman"/>
          <w:sz w:val="28"/>
          <w:szCs w:val="28"/>
        </w:rPr>
        <w:t xml:space="preserve">официальной </w:t>
      </w:r>
      <w:r w:rsidRPr="009F6DA3">
        <w:rPr>
          <w:rFonts w:ascii="Times New Roman" w:hAnsi="Times New Roman" w:cs="Times New Roman"/>
          <w:sz w:val="28"/>
          <w:szCs w:val="28"/>
        </w:rPr>
        <w:t xml:space="preserve">статистики. Между тем, для полноценного исследования вопроса о влиянии трудовой миграции на качество жизни населения эти данные не обладают полноценным охватом: большая часть ежедневных маятниковых мигрантов из пригородов в мегаполисы остается вне поля видимости официальной статистики. А между тем они также вносят существенный вклад в перераспределение средств между регионами (например, г. Москва и Московская область) и муниципалитетами. Анализ высокочастотных данных, таких как, например, данные </w:t>
      </w:r>
      <w:r w:rsidRPr="009F6DA3">
        <w:rPr>
          <w:rFonts w:ascii="Times New Roman" w:hAnsi="Times New Roman" w:cs="Times New Roman"/>
          <w:sz w:val="28"/>
          <w:szCs w:val="28"/>
          <w:lang w:val="en-US"/>
        </w:rPr>
        <w:t>SIM</w:t>
      </w:r>
      <w:r w:rsidRPr="009F6DA3">
        <w:rPr>
          <w:rFonts w:ascii="Times New Roman" w:hAnsi="Times New Roman" w:cs="Times New Roman"/>
          <w:sz w:val="28"/>
          <w:szCs w:val="28"/>
        </w:rPr>
        <w:t>-карт, или банковских переводов, мог бы повысить точность оценки объемов перераспределяемых денежных средств, а также, возможно, сделать представление о структуре их трат. Приводимые в работе</w:t>
      </w:r>
      <w:r w:rsidRPr="009F6DA3">
        <w:rPr>
          <w:rStyle w:val="ad"/>
          <w:rFonts w:ascii="Times New Roman" w:hAnsi="Times New Roman" w:cs="Times New Roman"/>
          <w:sz w:val="28"/>
          <w:szCs w:val="28"/>
        </w:rPr>
        <w:footnoteReference w:id="51"/>
      </w:r>
      <w:r w:rsidRPr="009F6DA3">
        <w:rPr>
          <w:rFonts w:ascii="Times New Roman" w:hAnsi="Times New Roman" w:cs="Times New Roman"/>
          <w:sz w:val="28"/>
          <w:szCs w:val="28"/>
        </w:rPr>
        <w:t xml:space="preserve"> оценки, сделанные для Московской агломерации на базе больших данных</w:t>
      </w:r>
      <w:r w:rsidR="006D21F1">
        <w:rPr>
          <w:rFonts w:ascii="Times New Roman" w:hAnsi="Times New Roman" w:cs="Times New Roman"/>
          <w:sz w:val="28"/>
          <w:szCs w:val="28"/>
        </w:rPr>
        <w:t>,</w:t>
      </w:r>
      <w:r w:rsidRPr="009F6DA3">
        <w:rPr>
          <w:rFonts w:ascii="Times New Roman" w:hAnsi="Times New Roman" w:cs="Times New Roman"/>
          <w:sz w:val="28"/>
          <w:szCs w:val="28"/>
        </w:rPr>
        <w:t xml:space="preserve"> говорят о том, что сумма перераспределяемых средств только из одной Москвы в ее область составляет 250 млрд. руб. (данные за 2018 г.). Такие оценки повышают требование к официальной статистике о сборе данных и росте охвата миг</w:t>
      </w:r>
      <w:r w:rsidR="009F3BCE">
        <w:rPr>
          <w:rFonts w:ascii="Times New Roman" w:hAnsi="Times New Roman" w:cs="Times New Roman"/>
          <w:sz w:val="28"/>
          <w:szCs w:val="28"/>
        </w:rPr>
        <w:t>р</w:t>
      </w:r>
      <w:r w:rsidRPr="009F6DA3">
        <w:rPr>
          <w:rFonts w:ascii="Times New Roman" w:hAnsi="Times New Roman" w:cs="Times New Roman"/>
          <w:sz w:val="28"/>
          <w:szCs w:val="28"/>
        </w:rPr>
        <w:t xml:space="preserve">ационных и финансовых потоков на регулярной основе. </w:t>
      </w:r>
    </w:p>
    <w:p w14:paraId="27BA1E14" w14:textId="77777777" w:rsidR="00A9057E" w:rsidRDefault="00A9057E" w:rsidP="00A22A0D">
      <w:pPr>
        <w:spacing w:line="360" w:lineRule="auto"/>
        <w:ind w:left="360" w:firstLine="348"/>
        <w:jc w:val="both"/>
        <w:rPr>
          <w:rFonts w:ascii="Times New Roman" w:hAnsi="Times New Roman" w:cs="Times New Roman"/>
          <w:sz w:val="28"/>
          <w:szCs w:val="28"/>
        </w:rPr>
      </w:pPr>
      <w:r w:rsidRPr="009F6DA3">
        <w:rPr>
          <w:rFonts w:ascii="Times New Roman" w:hAnsi="Times New Roman" w:cs="Times New Roman"/>
          <w:sz w:val="28"/>
          <w:szCs w:val="28"/>
        </w:rPr>
        <w:t>В условиях такой же свободы перемещения при отсутствии радикальных изменений в социальной, экономической и других сферах жизни есть все основания ожидать пролонгации сложившихся тенденций внутренней миграции населения и трудовых мигрантов, концентрации населения в узком круге регионов, расположенных в западной части страны, продолжение нарастания поляризации, экономической и социальной, между экономическими центрами и так называемой «глубинкой». В этой связи важнейшая задача в области миграции для отдельных регионов, в которых фиксируется продолжительная депопуляция, – снижение оттока и привлечение «нового» населения, которая решается в первую очередь экономическими мерами (создание рабочих мест, обеспечение местность современной инфраструктурой и др.).</w:t>
      </w:r>
    </w:p>
    <w:p w14:paraId="6CB06E81" w14:textId="050EEE86" w:rsidR="00051FFC" w:rsidRPr="009F6DA3" w:rsidRDefault="00051FFC" w:rsidP="009F6DA3">
      <w:pPr>
        <w:pStyle w:val="1"/>
        <w:numPr>
          <w:ilvl w:val="0"/>
          <w:numId w:val="14"/>
        </w:numPr>
        <w:rPr>
          <w:rFonts w:ascii="Times New Roman" w:hAnsi="Times New Roman" w:cs="Times New Roman"/>
          <w:color w:val="auto"/>
        </w:rPr>
      </w:pPr>
      <w:bookmarkStart w:id="10" w:name="_Toc67417874"/>
      <w:r w:rsidRPr="009F6DA3">
        <w:rPr>
          <w:rFonts w:ascii="Times New Roman" w:hAnsi="Times New Roman" w:cs="Times New Roman"/>
          <w:color w:val="auto"/>
        </w:rPr>
        <w:t>Перспективный вклад спроса населения в экономическую динамику</w:t>
      </w:r>
      <w:bookmarkEnd w:id="10"/>
    </w:p>
    <w:p w14:paraId="78854BC1" w14:textId="77777777" w:rsidR="007D42F4" w:rsidRDefault="007D42F4" w:rsidP="00F8415B">
      <w:pPr>
        <w:spacing w:line="360" w:lineRule="auto"/>
        <w:ind w:firstLine="709"/>
        <w:jc w:val="both"/>
        <w:rPr>
          <w:rFonts w:ascii="Times New Roman" w:hAnsi="Times New Roman" w:cs="Times New Roman"/>
          <w:sz w:val="24"/>
          <w:szCs w:val="24"/>
        </w:rPr>
      </w:pPr>
    </w:p>
    <w:p w14:paraId="5437614C" w14:textId="77777777" w:rsidR="007C32A8" w:rsidRDefault="007C32A8" w:rsidP="007C32A8">
      <w:pPr>
        <w:spacing w:line="360" w:lineRule="auto"/>
        <w:ind w:firstLine="709"/>
        <w:jc w:val="both"/>
        <w:rPr>
          <w:rFonts w:ascii="Times New Roman" w:hAnsi="Times New Roman" w:cs="Times New Roman"/>
          <w:sz w:val="28"/>
          <w:szCs w:val="28"/>
        </w:rPr>
      </w:pPr>
      <w:r w:rsidRPr="00D11598">
        <w:rPr>
          <w:rFonts w:ascii="Times New Roman" w:hAnsi="Times New Roman" w:cs="Times New Roman"/>
          <w:sz w:val="28"/>
          <w:szCs w:val="28"/>
        </w:rPr>
        <w:t xml:space="preserve">Спрос населения </w:t>
      </w:r>
      <w:r>
        <w:rPr>
          <w:rFonts w:ascii="Times New Roman" w:hAnsi="Times New Roman" w:cs="Times New Roman"/>
          <w:sz w:val="28"/>
          <w:szCs w:val="28"/>
        </w:rPr>
        <w:t>обеспечивает до 50% формирования ВВП со стороны спроса. Поэтому любой конструктивный сценарий развития российской экономики предполагает сохранение положительной динамики доходов населения.</w:t>
      </w:r>
    </w:p>
    <w:p w14:paraId="6B9C896F" w14:textId="77777777" w:rsidR="007C32A8" w:rsidRDefault="007C32A8"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 задача должна решаться в условиях запуска </w:t>
      </w:r>
      <w:proofErr w:type="gramStart"/>
      <w:r>
        <w:rPr>
          <w:rFonts w:ascii="Times New Roman" w:hAnsi="Times New Roman" w:cs="Times New Roman"/>
          <w:sz w:val="28"/>
          <w:szCs w:val="28"/>
        </w:rPr>
        <w:t>нового инвестиционного цикла</w:t>
      </w:r>
      <w:proofErr w:type="gramEnd"/>
      <w:r>
        <w:rPr>
          <w:rFonts w:ascii="Times New Roman" w:hAnsi="Times New Roman" w:cs="Times New Roman"/>
          <w:sz w:val="28"/>
          <w:szCs w:val="28"/>
        </w:rPr>
        <w:t xml:space="preserve"> имеющего своей целью модернизацию производственного потенциала российской экономики, существенного роста эффективности как в реальном секторе, так и в секторе непроизводственных услуг российской экономики.</w:t>
      </w:r>
    </w:p>
    <w:p w14:paraId="6F514595" w14:textId="77777777" w:rsidR="007C32A8" w:rsidRDefault="007C32A8"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Модернизация экономики потребует роста доли инвестиций в структуре ВВП, что может стать одним из ограничений для наращивания доходов и расходов населения. По нашим оценкам в условиях среднегодовых темпов роста ВВП на уровне 3,0-3,5%, рост среднегодовых доходов населения </w:t>
      </w:r>
      <w:proofErr w:type="gramStart"/>
      <w:r>
        <w:rPr>
          <w:rFonts w:ascii="Times New Roman" w:hAnsi="Times New Roman" w:cs="Times New Roman"/>
          <w:sz w:val="28"/>
          <w:szCs w:val="28"/>
        </w:rPr>
        <w:t>на  2</w:t>
      </w:r>
      <w:proofErr w:type="gramEnd"/>
      <w:r>
        <w:rPr>
          <w:rFonts w:ascii="Times New Roman" w:hAnsi="Times New Roman" w:cs="Times New Roman"/>
          <w:sz w:val="28"/>
          <w:szCs w:val="28"/>
        </w:rPr>
        <w:t>,8-3,0% обеспечивается при норме накопления</w:t>
      </w:r>
      <w:r>
        <w:rPr>
          <w:rStyle w:val="ad"/>
          <w:rFonts w:ascii="Times New Roman" w:hAnsi="Times New Roman" w:cs="Times New Roman"/>
          <w:sz w:val="28"/>
          <w:szCs w:val="28"/>
        </w:rPr>
        <w:footnoteReference w:id="52"/>
      </w:r>
      <w:r>
        <w:rPr>
          <w:rFonts w:ascii="Times New Roman" w:hAnsi="Times New Roman" w:cs="Times New Roman"/>
          <w:sz w:val="28"/>
          <w:szCs w:val="28"/>
        </w:rPr>
        <w:t xml:space="preserve"> не выше 25-26%.</w:t>
      </w:r>
    </w:p>
    <w:p w14:paraId="1BE75274" w14:textId="5AE9DC2F" w:rsidR="007C32A8" w:rsidRDefault="007C32A8"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нашим расчетам для обеспечения темпов экономического роста на уров</w:t>
      </w:r>
      <w:r w:rsidR="00351D97">
        <w:rPr>
          <w:rFonts w:ascii="Times New Roman" w:hAnsi="Times New Roman" w:cs="Times New Roman"/>
          <w:sz w:val="28"/>
          <w:szCs w:val="28"/>
        </w:rPr>
        <w:t>не среднемировых (</w:t>
      </w:r>
      <w:proofErr w:type="gramStart"/>
      <w:r w:rsidR="00351D97">
        <w:rPr>
          <w:rFonts w:ascii="Times New Roman" w:hAnsi="Times New Roman" w:cs="Times New Roman"/>
          <w:sz w:val="28"/>
          <w:szCs w:val="28"/>
        </w:rPr>
        <w:t>3,0-3,2</w:t>
      </w:r>
      <w:proofErr w:type="gramEnd"/>
      <w:r w:rsidR="00351D97">
        <w:rPr>
          <w:rFonts w:ascii="Times New Roman" w:hAnsi="Times New Roman" w:cs="Times New Roman"/>
          <w:sz w:val="28"/>
          <w:szCs w:val="28"/>
        </w:rPr>
        <w:t xml:space="preserve">%) требуется обеспечить </w:t>
      </w:r>
    </w:p>
    <w:p w14:paraId="1452E038" w14:textId="77777777" w:rsidR="007C32A8" w:rsidRDefault="007C32A8" w:rsidP="007C32A8">
      <w:pPr>
        <w:spacing w:line="360" w:lineRule="auto"/>
        <w:ind w:firstLine="709"/>
        <w:jc w:val="both"/>
        <w:rPr>
          <w:rFonts w:ascii="Times New Roman" w:hAnsi="Times New Roman" w:cs="Times New Roman"/>
          <w:sz w:val="28"/>
          <w:szCs w:val="28"/>
        </w:rPr>
      </w:pPr>
    </w:p>
    <w:p w14:paraId="4A708109" w14:textId="77777777" w:rsidR="007C32A8" w:rsidRDefault="007C32A8" w:rsidP="007C32A8">
      <w:pPr>
        <w:spacing w:line="360" w:lineRule="auto"/>
        <w:ind w:firstLine="709"/>
        <w:jc w:val="both"/>
        <w:rPr>
          <w:rFonts w:ascii="Times New Roman" w:hAnsi="Times New Roman" w:cs="Times New Roman"/>
          <w:sz w:val="28"/>
          <w:szCs w:val="28"/>
        </w:rPr>
      </w:pPr>
    </w:p>
    <w:p w14:paraId="5913150D" w14:textId="77777777" w:rsidR="007C32A8" w:rsidRDefault="007C32A8" w:rsidP="007C32A8">
      <w:pPr>
        <w:spacing w:line="360" w:lineRule="auto"/>
        <w:ind w:firstLine="709"/>
        <w:jc w:val="both"/>
        <w:rPr>
          <w:rFonts w:ascii="Times New Roman" w:hAnsi="Times New Roman" w:cs="Times New Roman"/>
          <w:sz w:val="28"/>
          <w:szCs w:val="28"/>
        </w:rPr>
      </w:pPr>
    </w:p>
    <w:p w14:paraId="4C1B8B4F" w14:textId="77777777" w:rsidR="007C32A8" w:rsidRDefault="007C32A8" w:rsidP="007C32A8">
      <w:pPr>
        <w:spacing w:line="360" w:lineRule="auto"/>
        <w:ind w:firstLine="709"/>
        <w:jc w:val="both"/>
        <w:rPr>
          <w:rFonts w:ascii="Times New Roman" w:hAnsi="Times New Roman" w:cs="Times New Roman"/>
          <w:sz w:val="28"/>
          <w:szCs w:val="28"/>
        </w:rPr>
      </w:pPr>
    </w:p>
    <w:p w14:paraId="57BC2BA4" w14:textId="6452D59C" w:rsidR="007C32A8" w:rsidRDefault="00C40BE3" w:rsidP="00C40BE3">
      <w:pPr>
        <w:spacing w:line="360" w:lineRule="auto"/>
        <w:jc w:val="both"/>
        <w:rPr>
          <w:rFonts w:ascii="Times New Roman" w:hAnsi="Times New Roman" w:cs="Times New Roman"/>
          <w:sz w:val="28"/>
          <w:szCs w:val="28"/>
        </w:rPr>
      </w:pPr>
      <w:r>
        <w:rPr>
          <w:rFonts w:ascii="Times New Roman" w:hAnsi="Times New Roman" w:cs="Times New Roman"/>
          <w:sz w:val="28"/>
          <w:szCs w:val="28"/>
        </w:rPr>
        <w:t>Таблица 9.1 Среднегодовые темпы роста ключевых элементов конечного спроса, в %</w:t>
      </w:r>
    </w:p>
    <w:tbl>
      <w:tblPr>
        <w:tblW w:w="5000" w:type="pct"/>
        <w:tblCellMar>
          <w:left w:w="0" w:type="dxa"/>
          <w:right w:w="0" w:type="dxa"/>
        </w:tblCellMar>
        <w:tblLook w:val="04A0" w:firstRow="1" w:lastRow="0" w:firstColumn="1" w:lastColumn="0" w:noHBand="0" w:noVBand="1"/>
      </w:tblPr>
      <w:tblGrid>
        <w:gridCol w:w="5291"/>
        <w:gridCol w:w="2022"/>
        <w:gridCol w:w="2022"/>
      </w:tblGrid>
      <w:tr w:rsidR="00C40BE3" w:rsidRPr="00C40BE3" w14:paraId="60AC4F3B" w14:textId="77777777" w:rsidTr="00C40BE3">
        <w:trPr>
          <w:trHeight w:val="493"/>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1AE5EBAF"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018F5BB7"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proofErr w:type="gramStart"/>
            <w:r w:rsidRPr="00C40BE3">
              <w:rPr>
                <w:rFonts w:ascii="Times New Roman" w:eastAsia="Arial" w:hAnsi="Times New Roman" w:cs="Times New Roman"/>
                <w:bCs/>
                <w:color w:val="000000" w:themeColor="text1"/>
                <w:sz w:val="28"/>
                <w:szCs w:val="28"/>
                <w:lang w:eastAsia="ru-RU"/>
              </w:rPr>
              <w:t>2020-2024</w:t>
            </w:r>
            <w:proofErr w:type="gramEnd"/>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3BE255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proofErr w:type="gramStart"/>
            <w:r w:rsidRPr="00C40BE3">
              <w:rPr>
                <w:rFonts w:ascii="Times New Roman" w:eastAsia="Arial" w:hAnsi="Times New Roman" w:cs="Times New Roman"/>
                <w:bCs/>
                <w:color w:val="000000" w:themeColor="text1"/>
                <w:sz w:val="28"/>
                <w:szCs w:val="28"/>
                <w:lang w:eastAsia="ru-RU"/>
              </w:rPr>
              <w:t>2025-2029</w:t>
            </w:r>
            <w:proofErr w:type="gramEnd"/>
          </w:p>
        </w:tc>
      </w:tr>
      <w:tr w:rsidR="00C40BE3" w:rsidRPr="00C40BE3" w14:paraId="17362507" w14:textId="77777777" w:rsidTr="00C40BE3">
        <w:trPr>
          <w:trHeight w:val="481"/>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D6865C5"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Потребление домашних хозяйств</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39152084"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2.0-2.8</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A8D3BA5"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2.3-3.5</w:t>
            </w:r>
          </w:p>
        </w:tc>
      </w:tr>
      <w:tr w:rsidR="00C40BE3" w:rsidRPr="00C40BE3" w14:paraId="20AB839D" w14:textId="77777777" w:rsidTr="00C40BE3">
        <w:trPr>
          <w:trHeight w:val="47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1337293B"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6356BF0"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0A7AB62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r>
      <w:tr w:rsidR="00C40BE3" w:rsidRPr="00C40BE3" w14:paraId="46BF3D8E" w14:textId="77777777" w:rsidTr="00C40BE3">
        <w:trPr>
          <w:trHeight w:val="634"/>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EE4D867"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Государственное потребление</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C4ED45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1.0-1.5</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735D1D2"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1.5-2.0</w:t>
            </w:r>
          </w:p>
        </w:tc>
      </w:tr>
      <w:tr w:rsidR="00C40BE3" w:rsidRPr="00C40BE3" w14:paraId="564B74E4" w14:textId="77777777" w:rsidTr="00C40BE3">
        <w:trPr>
          <w:trHeight w:val="47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31A94961"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670CB14"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02BAAFC"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r>
      <w:tr w:rsidR="00C40BE3" w:rsidRPr="00C40BE3" w14:paraId="420816E8" w14:textId="77777777" w:rsidTr="00C40BE3">
        <w:trPr>
          <w:trHeight w:val="49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27D025AC"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Инвестиции в основной капитал</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741FEF7"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3.7-5.5</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39DF2E82"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4.5-6.0</w:t>
            </w:r>
          </w:p>
        </w:tc>
      </w:tr>
      <w:tr w:rsidR="00C40BE3" w:rsidRPr="00C40BE3" w14:paraId="5F3E1AE0" w14:textId="77777777" w:rsidTr="00C40BE3">
        <w:trPr>
          <w:trHeight w:val="47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B63886A"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47524F2"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D173AF8"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r>
      <w:tr w:rsidR="00C40BE3" w:rsidRPr="00C40BE3" w14:paraId="2FB1C60B" w14:textId="77777777" w:rsidTr="00C40BE3">
        <w:trPr>
          <w:trHeight w:val="481"/>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C99FAF5"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Экспорт</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A3D854F"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2.2-3.0</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5300EBA"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2.5-3.2</w:t>
            </w:r>
          </w:p>
        </w:tc>
      </w:tr>
      <w:tr w:rsidR="00C40BE3" w:rsidRPr="00C40BE3" w14:paraId="5808B94C" w14:textId="77777777" w:rsidTr="00C40BE3">
        <w:trPr>
          <w:trHeight w:val="47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20770FB"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028636F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1F8274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r>
      <w:tr w:rsidR="00C40BE3" w:rsidRPr="00C40BE3" w14:paraId="58D4172F" w14:textId="77777777" w:rsidTr="00C40BE3">
        <w:trPr>
          <w:trHeight w:val="481"/>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1B980FC"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Импорт</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24961E5D"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2.3-2.8</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2E178EF5"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2.3-4.0</w:t>
            </w:r>
          </w:p>
        </w:tc>
      </w:tr>
      <w:tr w:rsidR="00C40BE3" w:rsidRPr="00C40BE3" w14:paraId="1ED918EC" w14:textId="77777777" w:rsidTr="00C40BE3">
        <w:trPr>
          <w:trHeight w:val="476"/>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B8A392B"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0C01151"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3654371"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color w:val="000000" w:themeColor="text1"/>
                <w:sz w:val="28"/>
                <w:szCs w:val="28"/>
                <w:lang w:eastAsia="ru-RU"/>
              </w:rPr>
              <w:t> </w:t>
            </w:r>
          </w:p>
        </w:tc>
      </w:tr>
      <w:tr w:rsidR="00C40BE3" w:rsidRPr="00C40BE3" w14:paraId="117DD686" w14:textId="77777777" w:rsidTr="00C40BE3">
        <w:trPr>
          <w:trHeight w:val="504"/>
        </w:trPr>
        <w:tc>
          <w:tcPr>
            <w:tcW w:w="2834"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099DEB88"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color w:val="000000" w:themeColor="text1"/>
                <w:sz w:val="28"/>
                <w:szCs w:val="28"/>
                <w:lang w:eastAsia="ru-RU"/>
              </w:rPr>
              <w:t>ВВП</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0A617310"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r w:rsidRPr="00C40BE3">
              <w:rPr>
                <w:rFonts w:ascii="Times New Roman" w:eastAsia="Arial" w:hAnsi="Times New Roman" w:cs="Times New Roman"/>
                <w:bCs/>
                <w:sz w:val="28"/>
                <w:szCs w:val="28"/>
                <w:lang w:eastAsia="ru-RU"/>
              </w:rPr>
              <w:t>2.2-3.2</w:t>
            </w:r>
          </w:p>
        </w:tc>
        <w:tc>
          <w:tcPr>
            <w:tcW w:w="1083" w:type="pct"/>
            <w:tcBorders>
              <w:top w:val="single" w:sz="8" w:space="0" w:color="000000"/>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787D832" w14:textId="77777777" w:rsidR="00C40BE3" w:rsidRPr="00C40BE3" w:rsidRDefault="00C40BE3" w:rsidP="00C40BE3">
            <w:pPr>
              <w:spacing w:after="0" w:line="240" w:lineRule="auto"/>
              <w:jc w:val="center"/>
              <w:rPr>
                <w:rFonts w:ascii="Times New Roman" w:eastAsia="Times New Roman" w:hAnsi="Times New Roman" w:cs="Times New Roman"/>
                <w:sz w:val="28"/>
                <w:szCs w:val="28"/>
                <w:lang w:eastAsia="ru-RU"/>
              </w:rPr>
            </w:pPr>
            <w:proofErr w:type="gramStart"/>
            <w:r w:rsidRPr="00C40BE3">
              <w:rPr>
                <w:rFonts w:ascii="Times New Roman" w:eastAsia="Arial" w:hAnsi="Times New Roman" w:cs="Times New Roman"/>
                <w:bCs/>
                <w:sz w:val="28"/>
                <w:szCs w:val="28"/>
                <w:lang w:eastAsia="ru-RU"/>
              </w:rPr>
              <w:t>3.5-4.0</w:t>
            </w:r>
            <w:proofErr w:type="gramEnd"/>
            <w:r w:rsidRPr="00C40BE3">
              <w:rPr>
                <w:rFonts w:ascii="Times New Roman" w:eastAsia="Arial" w:hAnsi="Times New Roman" w:cs="Times New Roman"/>
                <w:bCs/>
                <w:sz w:val="28"/>
                <w:szCs w:val="28"/>
                <w:lang w:eastAsia="ru-RU"/>
              </w:rPr>
              <w:t xml:space="preserve"> </w:t>
            </w:r>
          </w:p>
        </w:tc>
      </w:tr>
    </w:tbl>
    <w:p w14:paraId="22F38061" w14:textId="41A170AF" w:rsidR="00C40BE3" w:rsidRDefault="00C40BE3" w:rsidP="007C32A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 расчеты ИНП РАН</w:t>
      </w:r>
    </w:p>
    <w:p w14:paraId="7290BE23" w14:textId="77777777" w:rsidR="00C40BE3" w:rsidRDefault="00C40BE3" w:rsidP="007C32A8">
      <w:pPr>
        <w:spacing w:line="360" w:lineRule="auto"/>
        <w:ind w:firstLine="709"/>
        <w:jc w:val="both"/>
        <w:rPr>
          <w:rFonts w:ascii="Times New Roman" w:hAnsi="Times New Roman" w:cs="Times New Roman"/>
          <w:sz w:val="28"/>
          <w:szCs w:val="28"/>
        </w:rPr>
      </w:pPr>
    </w:p>
    <w:p w14:paraId="35DB27B2" w14:textId="77777777" w:rsidR="00C40BE3" w:rsidRDefault="00C40BE3" w:rsidP="007C32A8">
      <w:pPr>
        <w:spacing w:line="360" w:lineRule="auto"/>
        <w:ind w:firstLine="709"/>
        <w:jc w:val="both"/>
        <w:rPr>
          <w:rFonts w:ascii="Times New Roman" w:hAnsi="Times New Roman" w:cs="Times New Roman"/>
          <w:sz w:val="28"/>
          <w:szCs w:val="28"/>
        </w:rPr>
      </w:pPr>
    </w:p>
    <w:p w14:paraId="338EAF8E" w14:textId="77777777" w:rsidR="00C40BE3" w:rsidRDefault="00C40BE3" w:rsidP="007C32A8">
      <w:pPr>
        <w:spacing w:line="360" w:lineRule="auto"/>
        <w:ind w:firstLine="709"/>
        <w:jc w:val="both"/>
        <w:rPr>
          <w:rFonts w:ascii="Times New Roman" w:hAnsi="Times New Roman" w:cs="Times New Roman"/>
          <w:sz w:val="28"/>
          <w:szCs w:val="28"/>
        </w:rPr>
      </w:pPr>
    </w:p>
    <w:p w14:paraId="03F1B6E7" w14:textId="77777777" w:rsidR="00C40BE3" w:rsidRDefault="00C40BE3" w:rsidP="007C32A8">
      <w:pPr>
        <w:spacing w:line="360" w:lineRule="auto"/>
        <w:ind w:firstLine="709"/>
        <w:jc w:val="both"/>
        <w:rPr>
          <w:rFonts w:ascii="Times New Roman" w:hAnsi="Times New Roman" w:cs="Times New Roman"/>
          <w:sz w:val="28"/>
          <w:szCs w:val="28"/>
        </w:rPr>
      </w:pPr>
    </w:p>
    <w:p w14:paraId="6B026700" w14:textId="77777777" w:rsidR="00C40BE3" w:rsidRDefault="00C40BE3" w:rsidP="007C32A8">
      <w:pPr>
        <w:spacing w:line="360" w:lineRule="auto"/>
        <w:ind w:firstLine="709"/>
        <w:jc w:val="both"/>
        <w:rPr>
          <w:rFonts w:ascii="Times New Roman" w:hAnsi="Times New Roman" w:cs="Times New Roman"/>
          <w:sz w:val="28"/>
          <w:szCs w:val="28"/>
        </w:rPr>
      </w:pPr>
    </w:p>
    <w:p w14:paraId="68E31987" w14:textId="77777777" w:rsidR="007C32A8" w:rsidRDefault="007C32A8" w:rsidP="007C32A8">
      <w:pPr>
        <w:spacing w:line="360" w:lineRule="auto"/>
        <w:ind w:firstLine="709"/>
        <w:jc w:val="both"/>
        <w:rPr>
          <w:rFonts w:ascii="Times New Roman" w:hAnsi="Times New Roman" w:cs="Times New Roman"/>
          <w:sz w:val="28"/>
          <w:szCs w:val="28"/>
        </w:rPr>
      </w:pPr>
    </w:p>
    <w:p w14:paraId="6B573FE9" w14:textId="77777777" w:rsidR="007C32A8" w:rsidRDefault="007C32A8" w:rsidP="007C32A8">
      <w:pPr>
        <w:spacing w:line="360" w:lineRule="auto"/>
        <w:jc w:val="both"/>
        <w:rPr>
          <w:rFonts w:ascii="Times New Roman" w:hAnsi="Times New Roman" w:cs="Times New Roman"/>
          <w:sz w:val="28"/>
          <w:szCs w:val="28"/>
        </w:rPr>
      </w:pPr>
      <w:r w:rsidRPr="00A968FC">
        <w:rPr>
          <w:rFonts w:ascii="Times New Roman" w:hAnsi="Times New Roman" w:cs="Times New Roman"/>
          <w:noProof/>
          <w:sz w:val="28"/>
          <w:szCs w:val="28"/>
        </w:rPr>
        <w:drawing>
          <wp:inline distT="0" distB="0" distL="0" distR="0" wp14:anchorId="6E83B8A0" wp14:editId="4E4EC4B1">
            <wp:extent cx="5940425" cy="3445679"/>
            <wp:effectExtent l="0" t="0" r="22225" b="2159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3BAEC1" w14:textId="77777777" w:rsidR="007C32A8" w:rsidRPr="00A968FC" w:rsidRDefault="007C32A8" w:rsidP="007C32A8">
      <w:pPr>
        <w:tabs>
          <w:tab w:val="left" w:pos="1155"/>
        </w:tabs>
        <w:jc w:val="both"/>
        <w:rPr>
          <w:sz w:val="28"/>
          <w:szCs w:val="28"/>
        </w:rPr>
      </w:pPr>
      <w:r>
        <w:rPr>
          <w:rFonts w:ascii="Times New Roman" w:hAnsi="Times New Roman" w:cs="Times New Roman"/>
          <w:sz w:val="28"/>
          <w:szCs w:val="28"/>
        </w:rPr>
        <w:t xml:space="preserve">Рисунок 9.1 </w:t>
      </w:r>
      <w:r w:rsidRPr="00A968FC">
        <w:rPr>
          <w:rFonts w:ascii="Times New Roman" w:hAnsi="Times New Roman" w:cs="Times New Roman"/>
          <w:sz w:val="28"/>
          <w:szCs w:val="28"/>
        </w:rPr>
        <w:t xml:space="preserve">Вклады отдельных факторов в темпы экономического роста в </w:t>
      </w:r>
      <w:proofErr w:type="gramStart"/>
      <w:r w:rsidRPr="00A968FC">
        <w:rPr>
          <w:rFonts w:ascii="Times New Roman" w:hAnsi="Times New Roman" w:cs="Times New Roman"/>
          <w:sz w:val="28"/>
          <w:szCs w:val="28"/>
        </w:rPr>
        <w:t>2021-2025</w:t>
      </w:r>
      <w:proofErr w:type="gramEnd"/>
      <w:r w:rsidRPr="00A968FC">
        <w:rPr>
          <w:rFonts w:ascii="Times New Roman" w:hAnsi="Times New Roman" w:cs="Times New Roman"/>
          <w:sz w:val="28"/>
          <w:szCs w:val="28"/>
        </w:rPr>
        <w:t xml:space="preserve"> гг. при переходе от инерционного сценария к сценарию использования потенциала роста, проц. п.</w:t>
      </w:r>
    </w:p>
    <w:p w14:paraId="45ABE52D" w14:textId="77777777" w:rsidR="007C32A8" w:rsidRPr="00A968FC" w:rsidRDefault="007C32A8" w:rsidP="007C32A8">
      <w:pPr>
        <w:tabs>
          <w:tab w:val="left" w:pos="1155"/>
        </w:tabs>
        <w:rPr>
          <w:rFonts w:ascii="Times New Roman" w:hAnsi="Times New Roman" w:cs="Times New Roman"/>
          <w:sz w:val="28"/>
          <w:szCs w:val="28"/>
        </w:rPr>
      </w:pPr>
    </w:p>
    <w:p w14:paraId="28E13431" w14:textId="77777777" w:rsidR="00051FFC" w:rsidRDefault="00051FFC" w:rsidP="00F8415B">
      <w:pPr>
        <w:spacing w:line="360" w:lineRule="auto"/>
        <w:ind w:firstLine="709"/>
        <w:jc w:val="both"/>
        <w:rPr>
          <w:rFonts w:ascii="Times New Roman" w:hAnsi="Times New Roman" w:cs="Times New Roman"/>
          <w:sz w:val="24"/>
          <w:szCs w:val="24"/>
        </w:rPr>
      </w:pPr>
    </w:p>
    <w:sectPr w:rsidR="00051FFC">
      <w:footerReference w:type="default" r:id="rId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E3F46" w14:textId="77777777" w:rsidR="006E5EF3" w:rsidRDefault="006E5EF3">
      <w:pPr>
        <w:spacing w:after="0" w:line="240" w:lineRule="auto"/>
      </w:pPr>
      <w:r>
        <w:separator/>
      </w:r>
    </w:p>
  </w:endnote>
  <w:endnote w:type="continuationSeparator" w:id="0">
    <w:p w14:paraId="46256537" w14:textId="77777777" w:rsidR="006E5EF3" w:rsidRDefault="006E5EF3">
      <w:pPr>
        <w:spacing w:after="0" w:line="240" w:lineRule="auto"/>
      </w:pPr>
      <w:r>
        <w:continuationSeparator/>
      </w:r>
    </w:p>
  </w:endnote>
  <w:endnote w:type="continuationNotice" w:id="1">
    <w:p w14:paraId="1B63E687" w14:textId="77777777" w:rsidR="006E5EF3" w:rsidRDefault="006E5E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panose1 w:val="020B0300000000000000"/>
    <w:charset w:val="80"/>
    <w:family w:val="roman"/>
    <w:notTrueType/>
    <w:pitch w:val="default"/>
  </w:font>
  <w:font w:name="Segoe UI">
    <w:panose1 w:val="020B0502040204020203"/>
    <w:charset w:val="CC"/>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panose1 w:val="00000000000000000000"/>
    <w:charset w:val="80"/>
    <w:family w:val="roman"/>
    <w:notTrueType/>
    <w:pitch w:val="default"/>
  </w:font>
  <w:font w:name="Noto Serif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6342016"/>
      <w:docPartObj>
        <w:docPartGallery w:val="Page Numbers (Bottom of Page)"/>
        <w:docPartUnique/>
      </w:docPartObj>
    </w:sdtPr>
    <w:sdtEndPr/>
    <w:sdtContent>
      <w:p w14:paraId="088F95D6" w14:textId="03C12A9D" w:rsidR="00FC0A22" w:rsidRDefault="00FC0A22">
        <w:pPr>
          <w:pStyle w:val="a9"/>
          <w:jc w:val="right"/>
        </w:pPr>
        <w:r>
          <w:fldChar w:fldCharType="begin"/>
        </w:r>
        <w:r>
          <w:instrText>PAGE   \* MERGEFORMAT</w:instrText>
        </w:r>
        <w:r>
          <w:fldChar w:fldCharType="separate"/>
        </w:r>
        <w:r w:rsidR="00C40BE3">
          <w:rPr>
            <w:noProof/>
          </w:rPr>
          <w:t>4</w:t>
        </w:r>
        <w:r>
          <w:fldChar w:fldCharType="end"/>
        </w:r>
      </w:p>
    </w:sdtContent>
  </w:sdt>
  <w:p w14:paraId="3550CAE3" w14:textId="77777777" w:rsidR="00FC0A22" w:rsidRDefault="00FC0A2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BE5861" w14:textId="77777777" w:rsidR="006E5EF3" w:rsidRDefault="006E5EF3">
      <w:pPr>
        <w:spacing w:after="0" w:line="240" w:lineRule="auto"/>
      </w:pPr>
      <w:r>
        <w:separator/>
      </w:r>
    </w:p>
  </w:footnote>
  <w:footnote w:type="continuationSeparator" w:id="0">
    <w:p w14:paraId="74A6F9DB" w14:textId="77777777" w:rsidR="006E5EF3" w:rsidRDefault="006E5EF3">
      <w:pPr>
        <w:spacing w:after="0" w:line="240" w:lineRule="auto"/>
      </w:pPr>
      <w:r>
        <w:continuationSeparator/>
      </w:r>
    </w:p>
  </w:footnote>
  <w:footnote w:type="continuationNotice" w:id="1">
    <w:p w14:paraId="6B6A5C85" w14:textId="77777777" w:rsidR="006E5EF3" w:rsidRDefault="006E5EF3">
      <w:pPr>
        <w:spacing w:after="0" w:line="240" w:lineRule="auto"/>
      </w:pPr>
    </w:p>
  </w:footnote>
  <w:footnote w:id="2">
    <w:p w14:paraId="719DB82D" w14:textId="1992BC4D" w:rsidR="00FC0A22" w:rsidRPr="00BC3AA1" w:rsidRDefault="00FC0A22" w:rsidP="00BC3AA1">
      <w:pPr>
        <w:shd w:val="clear" w:color="auto" w:fill="FFFFFF"/>
        <w:jc w:val="both"/>
        <w:rPr>
          <w:rFonts w:ascii="Times New Roman" w:eastAsia="Times New Roman" w:hAnsi="Times New Roman" w:cs="Times New Roman"/>
          <w:sz w:val="20"/>
          <w:szCs w:val="20"/>
          <w:lang w:eastAsia="ru-RU"/>
        </w:rPr>
      </w:pPr>
      <w:r w:rsidRPr="00BC3AA1">
        <w:rPr>
          <w:rStyle w:val="ad"/>
          <w:sz w:val="20"/>
          <w:szCs w:val="20"/>
        </w:rPr>
        <w:footnoteRef/>
      </w:r>
      <w:r w:rsidRPr="00BC3AA1">
        <w:rPr>
          <w:sz w:val="20"/>
          <w:szCs w:val="20"/>
        </w:rPr>
        <w:t xml:space="preserve"> </w:t>
      </w:r>
      <w:proofErr w:type="gramStart"/>
      <w:r w:rsidRPr="00BC3AA1">
        <w:rPr>
          <w:rFonts w:ascii="Times New Roman" w:eastAsia="Times New Roman" w:hAnsi="Times New Roman" w:cs="Times New Roman"/>
          <w:sz w:val="20"/>
          <w:szCs w:val="20"/>
          <w:lang w:eastAsia="ru-RU"/>
        </w:rPr>
        <w:t>Посткризисное  восстановление</w:t>
      </w:r>
      <w:proofErr w:type="gramEnd"/>
      <w:r w:rsidRPr="00BC3AA1">
        <w:rPr>
          <w:rFonts w:ascii="Times New Roman" w:eastAsia="Times New Roman" w:hAnsi="Times New Roman" w:cs="Times New Roman"/>
          <w:sz w:val="20"/>
          <w:szCs w:val="20"/>
          <w:lang w:eastAsia="ru-RU"/>
        </w:rPr>
        <w:t xml:space="preserve">  экономики  и  основные  направления  прогноза  социально-экономического  развития  России  на  период  до  2035 г. :</w:t>
      </w:r>
      <w:r>
        <w:rPr>
          <w:rFonts w:ascii="Times New Roman" w:eastAsia="Times New Roman" w:hAnsi="Times New Roman" w:cs="Times New Roman"/>
          <w:sz w:val="20"/>
          <w:szCs w:val="20"/>
          <w:lang w:eastAsia="ru-RU"/>
        </w:rPr>
        <w:t xml:space="preserve">научный доклад / </w:t>
      </w:r>
      <w:r w:rsidRPr="00BC3AA1">
        <w:rPr>
          <w:rFonts w:ascii="Times New Roman" w:eastAsia="Times New Roman" w:hAnsi="Times New Roman" w:cs="Times New Roman"/>
          <w:sz w:val="20"/>
          <w:szCs w:val="20"/>
          <w:lang w:eastAsia="ru-RU"/>
        </w:rPr>
        <w:t xml:space="preserve">под  ред.  члена-корреспондента РАН </w:t>
      </w:r>
      <w:proofErr w:type="gramStart"/>
      <w:r>
        <w:rPr>
          <w:rFonts w:ascii="Times New Roman" w:eastAsia="Times New Roman" w:hAnsi="Times New Roman" w:cs="Times New Roman"/>
          <w:sz w:val="20"/>
          <w:szCs w:val="20"/>
          <w:lang w:eastAsia="ru-RU"/>
        </w:rPr>
        <w:t>А.А.</w:t>
      </w:r>
      <w:proofErr w:type="gramEnd"/>
      <w:r>
        <w:rPr>
          <w:rFonts w:ascii="Times New Roman" w:eastAsia="Times New Roman" w:hAnsi="Times New Roman" w:cs="Times New Roman"/>
          <w:sz w:val="20"/>
          <w:szCs w:val="20"/>
          <w:lang w:eastAsia="ru-RU"/>
        </w:rPr>
        <w:t xml:space="preserve"> Широва. – М.</w:t>
      </w:r>
      <w:r w:rsidRPr="00BC3AA1">
        <w:rPr>
          <w:rFonts w:ascii="Times New Roman" w:eastAsia="Times New Roman" w:hAnsi="Times New Roman" w:cs="Times New Roman"/>
          <w:sz w:val="20"/>
          <w:szCs w:val="20"/>
          <w:lang w:eastAsia="ru-RU"/>
        </w:rPr>
        <w:t>: Наука</w:t>
      </w:r>
      <w:r>
        <w:rPr>
          <w:rFonts w:ascii="Times New Roman" w:eastAsia="Times New Roman" w:hAnsi="Times New Roman" w:cs="Times New Roman"/>
          <w:sz w:val="20"/>
          <w:szCs w:val="20"/>
          <w:lang w:eastAsia="ru-RU"/>
        </w:rPr>
        <w:t xml:space="preserve"> – 2020. – 152 с.</w:t>
      </w:r>
    </w:p>
    <w:p w14:paraId="57C6D6EE" w14:textId="104CB712" w:rsidR="00FC0A22" w:rsidRDefault="00FC0A22">
      <w:pPr>
        <w:pStyle w:val="ab"/>
      </w:pPr>
    </w:p>
  </w:footnote>
  <w:footnote w:id="3">
    <w:p w14:paraId="49433E2D" w14:textId="77777777" w:rsidR="00FC0A22" w:rsidRPr="00294F8E" w:rsidRDefault="00FC0A22" w:rsidP="00D86D14">
      <w:pPr>
        <w:pStyle w:val="ab"/>
      </w:pPr>
      <w:r w:rsidRPr="00294F8E">
        <w:rPr>
          <w:rStyle w:val="ad"/>
          <w:rFonts w:ascii="Times New Roman" w:hAnsi="Times New Roman" w:cs="Times New Roman"/>
        </w:rPr>
        <w:footnoteRef/>
      </w:r>
      <w:r w:rsidRPr="00294F8E">
        <w:rPr>
          <w:rFonts w:ascii="Times New Roman" w:hAnsi="Times New Roman" w:cs="Times New Roman"/>
        </w:rPr>
        <w:t xml:space="preserve"> Иванов </w:t>
      </w:r>
      <w:proofErr w:type="gramStart"/>
      <w:r w:rsidRPr="00294F8E">
        <w:rPr>
          <w:rFonts w:ascii="Times New Roman" w:hAnsi="Times New Roman" w:cs="Times New Roman"/>
        </w:rPr>
        <w:t>В.Н.</w:t>
      </w:r>
      <w:proofErr w:type="gramEnd"/>
      <w:r w:rsidRPr="00294F8E">
        <w:rPr>
          <w:rFonts w:ascii="Times New Roman" w:hAnsi="Times New Roman" w:cs="Times New Roman"/>
        </w:rPr>
        <w:t xml:space="preserve">, Суворов А.В., Сухорукова Г.М., </w:t>
      </w:r>
      <w:proofErr w:type="spellStart"/>
      <w:r w:rsidRPr="00294F8E">
        <w:rPr>
          <w:rFonts w:ascii="Times New Roman" w:hAnsi="Times New Roman" w:cs="Times New Roman"/>
        </w:rPr>
        <w:t>Болдов</w:t>
      </w:r>
      <w:proofErr w:type="spellEnd"/>
      <w:r w:rsidRPr="00294F8E">
        <w:rPr>
          <w:rFonts w:ascii="Times New Roman" w:hAnsi="Times New Roman" w:cs="Times New Roman"/>
        </w:rPr>
        <w:t xml:space="preserve"> О.Н. </w:t>
      </w:r>
      <w:r w:rsidRPr="00294F8E">
        <w:rPr>
          <w:rFonts w:ascii="Times New Roman" w:hAnsi="Times New Roman" w:cs="Times New Roman"/>
          <w:lang w:val="en-US"/>
        </w:rPr>
        <w:t>C</w:t>
      </w:r>
      <w:proofErr w:type="spellStart"/>
      <w:r w:rsidRPr="00294F8E">
        <w:rPr>
          <w:rFonts w:ascii="Times New Roman" w:hAnsi="Times New Roman" w:cs="Times New Roman"/>
        </w:rPr>
        <w:t>двиги</w:t>
      </w:r>
      <w:proofErr w:type="spellEnd"/>
      <w:r w:rsidRPr="00294F8E">
        <w:rPr>
          <w:rFonts w:ascii="Times New Roman" w:hAnsi="Times New Roman" w:cs="Times New Roman"/>
        </w:rPr>
        <w:t xml:space="preserve"> в объеме и структуре потребительских расходов населения России в 1990-х - 2000-х годах // Научные труды: Институт народнохозяйственного прогнозирования РАН. 2008. Т. 6. С. </w:t>
      </w:r>
      <w:proofErr w:type="gramStart"/>
      <w:r w:rsidRPr="00294F8E">
        <w:rPr>
          <w:rFonts w:ascii="Times New Roman" w:hAnsi="Times New Roman" w:cs="Times New Roman"/>
        </w:rPr>
        <w:t>528-542</w:t>
      </w:r>
      <w:proofErr w:type="gramEnd"/>
      <w:r>
        <w:t>.</w:t>
      </w:r>
    </w:p>
  </w:footnote>
  <w:footnote w:id="4">
    <w:p w14:paraId="33B525C1" w14:textId="77777777" w:rsidR="00FC0A22" w:rsidRDefault="00FC0A22" w:rsidP="00D86D14">
      <w:pPr>
        <w:pStyle w:val="ab"/>
        <w:jc w:val="both"/>
        <w:rPr>
          <w:rFonts w:ascii="Liberation Serif" w:hAnsi="Liberation Serif"/>
        </w:rPr>
      </w:pPr>
      <w:r>
        <w:rPr>
          <w:rStyle w:val="aff0"/>
        </w:rPr>
        <w:footnoteRef/>
      </w:r>
      <w:r>
        <w:rPr>
          <w:rFonts w:ascii="Liberation Serif" w:hAnsi="Liberation Serif"/>
        </w:rPr>
        <w:t xml:space="preserve"> Здесь и далее 2004 г. рассматривается в качестве базы сравнения вследствие того, что только начиная с этого года российские национальные счета стали публиковать данные о ПДХ в разрезе Классификатора индивидуального потребления по целям (КИПЦ), позволяющего проводить корректные сопоставления в разрезе отдельных групп товаров и услуг</w:t>
      </w:r>
    </w:p>
  </w:footnote>
  <w:footnote w:id="5">
    <w:p w14:paraId="0731102F" w14:textId="3F6A9EB4" w:rsidR="0015778E" w:rsidRPr="0015778E" w:rsidRDefault="0015778E" w:rsidP="00B46E37">
      <w:pPr>
        <w:shd w:val="clear" w:color="auto" w:fill="FFFFFF"/>
        <w:jc w:val="both"/>
        <w:rPr>
          <w:rFonts w:ascii="Times New Roman" w:eastAsia="Times New Roman" w:hAnsi="Times New Roman" w:cs="Times New Roman"/>
          <w:sz w:val="23"/>
          <w:szCs w:val="23"/>
          <w:lang w:eastAsia="ru-RU"/>
        </w:rPr>
      </w:pPr>
      <w:r w:rsidRPr="00B46E37">
        <w:rPr>
          <w:rStyle w:val="ad"/>
          <w:rFonts w:ascii="Times New Roman" w:hAnsi="Times New Roman" w:cs="Times New Roman"/>
        </w:rPr>
        <w:footnoteRef/>
      </w:r>
      <w:r w:rsidRPr="00B46E37">
        <w:rPr>
          <w:rFonts w:ascii="Times New Roman" w:hAnsi="Times New Roman" w:cs="Times New Roman"/>
        </w:rPr>
        <w:t xml:space="preserve"> </w:t>
      </w:r>
      <w:r w:rsidR="00C65AB3" w:rsidRPr="00B46E37">
        <w:rPr>
          <w:rFonts w:ascii="Times New Roman" w:eastAsia="Times New Roman" w:hAnsi="Times New Roman" w:cs="Times New Roman"/>
          <w:sz w:val="23"/>
          <w:szCs w:val="23"/>
          <w:lang w:eastAsia="ru-RU"/>
        </w:rPr>
        <w:t xml:space="preserve">Аникин В.А., </w:t>
      </w:r>
      <w:proofErr w:type="spellStart"/>
      <w:r w:rsidR="00C65AB3" w:rsidRPr="00B46E37">
        <w:rPr>
          <w:rFonts w:ascii="Times New Roman" w:eastAsia="Times New Roman" w:hAnsi="Times New Roman" w:cs="Times New Roman"/>
          <w:sz w:val="23"/>
          <w:szCs w:val="23"/>
          <w:lang w:eastAsia="ru-RU"/>
        </w:rPr>
        <w:t>Лежнина</w:t>
      </w:r>
      <w:proofErr w:type="spellEnd"/>
      <w:r w:rsidR="00C65AB3" w:rsidRPr="00B46E37">
        <w:rPr>
          <w:rFonts w:ascii="Times New Roman" w:eastAsia="Times New Roman" w:hAnsi="Times New Roman" w:cs="Times New Roman"/>
          <w:sz w:val="23"/>
          <w:szCs w:val="23"/>
          <w:lang w:eastAsia="ru-RU"/>
        </w:rPr>
        <w:t xml:space="preserve"> Ю.П., Мареева С.В., </w:t>
      </w:r>
      <w:proofErr w:type="spellStart"/>
      <w:r w:rsidR="00C65AB3" w:rsidRPr="00B46E37">
        <w:rPr>
          <w:rFonts w:ascii="Times New Roman" w:eastAsia="Times New Roman" w:hAnsi="Times New Roman" w:cs="Times New Roman"/>
          <w:sz w:val="23"/>
          <w:szCs w:val="23"/>
          <w:lang w:eastAsia="ru-RU"/>
        </w:rPr>
        <w:t>Слободенюк</w:t>
      </w:r>
      <w:proofErr w:type="spellEnd"/>
      <w:r w:rsidR="00C65AB3" w:rsidRPr="00B46E37">
        <w:rPr>
          <w:rFonts w:ascii="Times New Roman" w:eastAsia="Times New Roman" w:hAnsi="Times New Roman" w:cs="Times New Roman"/>
          <w:sz w:val="23"/>
          <w:szCs w:val="23"/>
          <w:lang w:eastAsia="ru-RU"/>
        </w:rPr>
        <w:t xml:space="preserve"> Е.</w:t>
      </w:r>
      <w:r w:rsidRPr="0015778E">
        <w:rPr>
          <w:rFonts w:ascii="Times New Roman" w:eastAsia="Times New Roman" w:hAnsi="Times New Roman" w:cs="Times New Roman"/>
          <w:sz w:val="23"/>
          <w:szCs w:val="23"/>
          <w:lang w:eastAsia="ru-RU"/>
        </w:rPr>
        <w:t xml:space="preserve">Д. Запросы россиян на содействие государства: социальное инвестирование или социальная </w:t>
      </w:r>
      <w:proofErr w:type="gramStart"/>
      <w:r w:rsidRPr="0015778E">
        <w:rPr>
          <w:rFonts w:ascii="Times New Roman" w:eastAsia="Times New Roman" w:hAnsi="Times New Roman" w:cs="Times New Roman"/>
          <w:sz w:val="23"/>
          <w:szCs w:val="23"/>
          <w:lang w:eastAsia="ru-RU"/>
        </w:rPr>
        <w:t>поддержка?/</w:t>
      </w:r>
      <w:proofErr w:type="gramEnd"/>
      <w:r w:rsidRPr="0015778E">
        <w:rPr>
          <w:rFonts w:ascii="Times New Roman" w:eastAsia="Times New Roman" w:hAnsi="Times New Roman" w:cs="Times New Roman"/>
          <w:sz w:val="23"/>
          <w:szCs w:val="23"/>
          <w:lang w:eastAsia="ru-RU"/>
        </w:rPr>
        <w:t xml:space="preserve">/ </w:t>
      </w:r>
      <w:r w:rsidR="00C65AB3" w:rsidRPr="00B46E37">
        <w:rPr>
          <w:rFonts w:ascii="Times New Roman" w:eastAsia="Times New Roman" w:hAnsi="Times New Roman" w:cs="Times New Roman"/>
          <w:sz w:val="23"/>
          <w:szCs w:val="23"/>
          <w:lang w:eastAsia="ru-RU"/>
        </w:rPr>
        <w:t>Монито</w:t>
      </w:r>
      <w:r w:rsidRPr="0015778E">
        <w:rPr>
          <w:rFonts w:ascii="Times New Roman" w:eastAsia="Times New Roman" w:hAnsi="Times New Roman" w:cs="Times New Roman"/>
          <w:sz w:val="23"/>
          <w:szCs w:val="23"/>
          <w:lang w:eastAsia="ru-RU"/>
        </w:rPr>
        <w:t xml:space="preserve">ринг </w:t>
      </w:r>
      <w:r w:rsidR="00C65AB3" w:rsidRPr="00B46E37">
        <w:rPr>
          <w:rFonts w:ascii="Times New Roman" w:eastAsia="Times New Roman" w:hAnsi="Times New Roman" w:cs="Times New Roman"/>
          <w:sz w:val="23"/>
          <w:szCs w:val="23"/>
          <w:lang w:eastAsia="ru-RU"/>
        </w:rPr>
        <w:t>общественного мнения: Экономические и социаль</w:t>
      </w:r>
      <w:r w:rsidRPr="0015778E">
        <w:rPr>
          <w:rFonts w:ascii="Times New Roman" w:eastAsia="Times New Roman" w:hAnsi="Times New Roman" w:cs="Times New Roman"/>
          <w:sz w:val="23"/>
          <w:szCs w:val="23"/>
          <w:lang w:eastAsia="ru-RU"/>
        </w:rPr>
        <w:t xml:space="preserve">ные  перемены.  </w:t>
      </w:r>
      <w:r w:rsidRPr="00A365AF">
        <w:rPr>
          <w:rFonts w:ascii="Times New Roman" w:eastAsia="Times New Roman" w:hAnsi="Times New Roman" w:cs="Times New Roman"/>
          <w:sz w:val="23"/>
          <w:szCs w:val="23"/>
          <w:lang w:eastAsia="ru-RU"/>
        </w:rPr>
        <w:t xml:space="preserve">2019.  </w:t>
      </w:r>
      <w:r w:rsidRPr="0015778E">
        <w:rPr>
          <w:rFonts w:ascii="Times New Roman" w:eastAsia="Times New Roman" w:hAnsi="Times New Roman" w:cs="Times New Roman"/>
          <w:sz w:val="23"/>
          <w:szCs w:val="23"/>
          <w:lang w:val="en-US" w:eastAsia="ru-RU"/>
        </w:rPr>
        <w:t>No</w:t>
      </w:r>
      <w:r w:rsidRPr="00A365AF">
        <w:rPr>
          <w:rFonts w:ascii="Times New Roman" w:eastAsia="Times New Roman" w:hAnsi="Times New Roman" w:cs="Times New Roman"/>
          <w:sz w:val="23"/>
          <w:szCs w:val="23"/>
          <w:lang w:eastAsia="ru-RU"/>
        </w:rPr>
        <w:t xml:space="preserve"> 3. </w:t>
      </w:r>
      <w:r w:rsidRPr="0015778E">
        <w:rPr>
          <w:rFonts w:ascii="Times New Roman" w:eastAsia="Times New Roman" w:hAnsi="Times New Roman" w:cs="Times New Roman"/>
          <w:sz w:val="23"/>
          <w:szCs w:val="23"/>
          <w:lang w:eastAsia="ru-RU"/>
        </w:rPr>
        <w:t>С</w:t>
      </w:r>
      <w:r w:rsidRPr="00A365AF">
        <w:rPr>
          <w:rFonts w:ascii="Times New Roman" w:eastAsia="Times New Roman" w:hAnsi="Times New Roman" w:cs="Times New Roman"/>
          <w:sz w:val="23"/>
          <w:szCs w:val="23"/>
          <w:lang w:eastAsia="ru-RU"/>
        </w:rPr>
        <w:t>. 345—366</w:t>
      </w:r>
      <w:r w:rsidR="00C65AB3" w:rsidRPr="00B46E37">
        <w:rPr>
          <w:rFonts w:ascii="Times New Roman" w:eastAsia="Times New Roman" w:hAnsi="Times New Roman" w:cs="Times New Roman"/>
          <w:sz w:val="23"/>
          <w:szCs w:val="23"/>
          <w:lang w:eastAsia="ru-RU"/>
        </w:rPr>
        <w:t xml:space="preserve"> </w:t>
      </w:r>
      <w:r w:rsidRPr="0015778E">
        <w:rPr>
          <w:rFonts w:ascii="Times New Roman" w:eastAsia="Times New Roman" w:hAnsi="Times New Roman" w:cs="Times New Roman"/>
          <w:sz w:val="23"/>
          <w:szCs w:val="23"/>
          <w:lang w:val="en-US" w:eastAsia="ru-RU"/>
        </w:rPr>
        <w:t>https</w:t>
      </w:r>
      <w:r w:rsidRPr="00A365AF">
        <w:rPr>
          <w:rFonts w:ascii="Times New Roman" w:eastAsia="Times New Roman" w:hAnsi="Times New Roman" w:cs="Times New Roman"/>
          <w:sz w:val="23"/>
          <w:szCs w:val="23"/>
          <w:lang w:eastAsia="ru-RU"/>
        </w:rPr>
        <w:t>://</w:t>
      </w:r>
      <w:proofErr w:type="spellStart"/>
      <w:r w:rsidRPr="0015778E">
        <w:rPr>
          <w:rFonts w:ascii="Times New Roman" w:eastAsia="Times New Roman" w:hAnsi="Times New Roman" w:cs="Times New Roman"/>
          <w:sz w:val="23"/>
          <w:szCs w:val="23"/>
          <w:lang w:val="en-US" w:eastAsia="ru-RU"/>
        </w:rPr>
        <w:t>doi</w:t>
      </w:r>
      <w:proofErr w:type="spellEnd"/>
      <w:r w:rsidRPr="00A365AF">
        <w:rPr>
          <w:rFonts w:ascii="Times New Roman" w:eastAsia="Times New Roman" w:hAnsi="Times New Roman" w:cs="Times New Roman"/>
          <w:sz w:val="23"/>
          <w:szCs w:val="23"/>
          <w:lang w:eastAsia="ru-RU"/>
        </w:rPr>
        <w:t>.</w:t>
      </w:r>
      <w:r w:rsidRPr="0015778E">
        <w:rPr>
          <w:rFonts w:ascii="Times New Roman" w:eastAsia="Times New Roman" w:hAnsi="Times New Roman" w:cs="Times New Roman"/>
          <w:sz w:val="23"/>
          <w:szCs w:val="23"/>
          <w:lang w:val="en-US" w:eastAsia="ru-RU"/>
        </w:rPr>
        <w:t>org</w:t>
      </w:r>
      <w:r w:rsidRPr="00A365AF">
        <w:rPr>
          <w:rFonts w:ascii="Times New Roman" w:eastAsia="Times New Roman" w:hAnsi="Times New Roman" w:cs="Times New Roman"/>
          <w:sz w:val="23"/>
          <w:szCs w:val="23"/>
          <w:lang w:eastAsia="ru-RU"/>
        </w:rPr>
        <w:t>/10.14515/</w:t>
      </w:r>
      <w:r w:rsidRPr="0015778E">
        <w:rPr>
          <w:rFonts w:ascii="Times New Roman" w:eastAsia="Times New Roman" w:hAnsi="Times New Roman" w:cs="Times New Roman"/>
          <w:sz w:val="23"/>
          <w:szCs w:val="23"/>
          <w:lang w:val="en-US" w:eastAsia="ru-RU"/>
        </w:rPr>
        <w:t>monitoring</w:t>
      </w:r>
      <w:r w:rsidRPr="00A365AF">
        <w:rPr>
          <w:rFonts w:ascii="Times New Roman" w:eastAsia="Times New Roman" w:hAnsi="Times New Roman" w:cs="Times New Roman"/>
          <w:sz w:val="23"/>
          <w:szCs w:val="23"/>
          <w:lang w:eastAsia="ru-RU"/>
        </w:rPr>
        <w:t>.2019.3.19.</w:t>
      </w:r>
    </w:p>
    <w:p w14:paraId="24020E81" w14:textId="76A595D2" w:rsidR="0015778E" w:rsidRPr="00A365AF" w:rsidRDefault="0015778E">
      <w:pPr>
        <w:pStyle w:val="ab"/>
      </w:pPr>
    </w:p>
  </w:footnote>
  <w:footnote w:id="6">
    <w:p w14:paraId="7947C790" w14:textId="24A92E41" w:rsidR="00FC0A22" w:rsidRPr="0043374B" w:rsidRDefault="00FC0A22">
      <w:pPr>
        <w:pStyle w:val="ab"/>
        <w:rPr>
          <w:rFonts w:ascii="Times New Roman" w:hAnsi="Times New Roman" w:cs="Times New Roman"/>
        </w:rPr>
      </w:pPr>
      <w:r w:rsidRPr="0043374B">
        <w:rPr>
          <w:rStyle w:val="ad"/>
          <w:rFonts w:ascii="Times New Roman" w:hAnsi="Times New Roman" w:cs="Times New Roman"/>
        </w:rPr>
        <w:footnoteRef/>
      </w:r>
      <w:r w:rsidRPr="0043374B">
        <w:rPr>
          <w:rFonts w:ascii="Times New Roman" w:hAnsi="Times New Roman" w:cs="Times New Roman"/>
        </w:rPr>
        <w:t xml:space="preserve"> Под комфортным понимается такое жилье, которое обладает системами водоснабжения, водоотведения, не имеет существенных ограничений по использованию электроэнергии.</w:t>
      </w:r>
    </w:p>
  </w:footnote>
  <w:footnote w:id="7">
    <w:p w14:paraId="6360BED8" w14:textId="77777777" w:rsidR="00FC5243" w:rsidRDefault="00FC5243" w:rsidP="00FC5243">
      <w:pPr>
        <w:pStyle w:val="ab"/>
        <w:rPr>
          <w:rFonts w:ascii="Times New Roman" w:hAnsi="Times New Roman" w:cs="Times New Roman"/>
          <w:lang w:val="en-US"/>
        </w:rPr>
      </w:pPr>
      <w:r>
        <w:rPr>
          <w:rStyle w:val="aff0"/>
        </w:rPr>
        <w:footnoteRef/>
      </w:r>
      <w:r>
        <w:rPr>
          <w:rFonts w:ascii="Times New Roman" w:hAnsi="Times New Roman" w:cs="Times New Roman"/>
          <w:lang w:val="en-US"/>
        </w:rPr>
        <w:t xml:space="preserve"> Human Development Report 2020. </w:t>
      </w:r>
      <w:hyperlink r:id="rId1">
        <w:r>
          <w:rPr>
            <w:rFonts w:ascii="Times New Roman" w:hAnsi="Times New Roman" w:cs="Times New Roman"/>
            <w:lang w:val="en-US"/>
          </w:rPr>
          <w:t>http://hdr.undp.org/en/2020-report</w:t>
        </w:r>
      </w:hyperlink>
    </w:p>
  </w:footnote>
  <w:footnote w:id="8">
    <w:p w14:paraId="11865012" w14:textId="77777777" w:rsidR="00FC5243" w:rsidRDefault="00FC5243" w:rsidP="00FC5243">
      <w:pPr>
        <w:pStyle w:val="ab"/>
        <w:rPr>
          <w:rFonts w:ascii="Times New Roman" w:hAnsi="Times New Roman" w:cs="Times New Roman"/>
          <w:lang w:val="en-US"/>
        </w:rPr>
      </w:pPr>
      <w:r>
        <w:rPr>
          <w:rStyle w:val="aff0"/>
        </w:rPr>
        <w:footnoteRef/>
      </w:r>
      <w:r>
        <w:rPr>
          <w:rFonts w:ascii="Times New Roman" w:hAnsi="Times New Roman" w:cs="Times New Roman"/>
          <w:lang w:val="en-US"/>
        </w:rPr>
        <w:t xml:space="preserve"> Preston S.H., </w:t>
      </w:r>
      <w:proofErr w:type="spellStart"/>
      <w:r>
        <w:rPr>
          <w:rFonts w:ascii="Times New Roman" w:hAnsi="Times New Roman" w:cs="Times New Roman"/>
          <w:lang w:val="en-US"/>
        </w:rPr>
        <w:t>Heuveline</w:t>
      </w:r>
      <w:proofErr w:type="spellEnd"/>
      <w:r>
        <w:rPr>
          <w:rFonts w:ascii="Times New Roman" w:hAnsi="Times New Roman" w:cs="Times New Roman"/>
          <w:lang w:val="en-US"/>
        </w:rPr>
        <w:t xml:space="preserve"> P., Guillot M. Demography: Measuring and Modelling Population Processes. - Blackwell Publishers Inc., 2001.</w:t>
      </w:r>
    </w:p>
    <w:p w14:paraId="68BA6FB8" w14:textId="77777777" w:rsidR="00FC5243" w:rsidRDefault="00FC5243" w:rsidP="00FC5243">
      <w:pPr>
        <w:pStyle w:val="ab"/>
        <w:rPr>
          <w:lang w:val="en-US"/>
        </w:rPr>
      </w:pPr>
      <w:r>
        <w:rPr>
          <w:rFonts w:ascii="Times New Roman" w:hAnsi="Times New Roman" w:cs="Times New Roman"/>
          <w:lang w:val="en-US"/>
        </w:rPr>
        <w:t xml:space="preserve">Arriaga E. Measuring and Explaining the Change in Life Expectancies //Demography. - 1984. - 21 (1). - </w:t>
      </w:r>
      <w:r>
        <w:rPr>
          <w:rFonts w:ascii="Times New Roman" w:hAnsi="Times New Roman" w:cs="Times New Roman"/>
        </w:rPr>
        <w:t>Р</w:t>
      </w:r>
      <w:r>
        <w:rPr>
          <w:rFonts w:ascii="Times New Roman" w:hAnsi="Times New Roman" w:cs="Times New Roman"/>
          <w:lang w:val="en-US"/>
        </w:rPr>
        <w:t>. 83-96</w:t>
      </w:r>
    </w:p>
  </w:footnote>
  <w:footnote w:id="9">
    <w:p w14:paraId="535CD3FD" w14:textId="77777777" w:rsidR="00FC5243" w:rsidRDefault="00FC5243" w:rsidP="00FC5243">
      <w:pPr>
        <w:pStyle w:val="ab"/>
        <w:rPr>
          <w:rFonts w:ascii="Times New Roman" w:hAnsi="Times New Roman" w:cs="Times New Roman"/>
        </w:rPr>
      </w:pPr>
      <w:r>
        <w:rPr>
          <w:rStyle w:val="aff0"/>
        </w:rPr>
        <w:footnoteRef/>
      </w:r>
      <w:r>
        <w:rPr>
          <w:rFonts w:ascii="Times New Roman" w:hAnsi="Times New Roman" w:cs="Times New Roman"/>
        </w:rPr>
        <w:t xml:space="preserve"> Российская база данных по рождаемости и смертности. Центр демографических исследований Российской экономической школы, Москва (Россия). База данных доступна по адресу http://demogr.nes.ru/index.php/ru/demogr_indicat/data.</w:t>
      </w:r>
    </w:p>
  </w:footnote>
  <w:footnote w:id="10">
    <w:p w14:paraId="71FC5350" w14:textId="77777777" w:rsidR="00FC5243" w:rsidRDefault="00FC5243" w:rsidP="00FC5243">
      <w:pPr>
        <w:pStyle w:val="ab"/>
        <w:rPr>
          <w:rFonts w:ascii="Times New Roman" w:hAnsi="Times New Roman" w:cs="Times New Roman"/>
        </w:rPr>
      </w:pPr>
      <w:r>
        <w:rPr>
          <w:rStyle w:val="aff0"/>
        </w:rPr>
        <w:footnoteRef/>
      </w:r>
      <w:r>
        <w:rPr>
          <w:rFonts w:ascii="Times New Roman" w:hAnsi="Times New Roman" w:cs="Times New Roman"/>
        </w:rPr>
        <w:t xml:space="preserve"> Трансформация структуры экономики: механизмы и управление // Москва, МАКС Пресс — 2018. https://ecfor.ru/publication/transformatsiya-struktury-ekonomiki-mehanizmy-i-upravlenie/</w:t>
      </w:r>
    </w:p>
  </w:footnote>
  <w:footnote w:id="11">
    <w:p w14:paraId="038CF607" w14:textId="77777777" w:rsidR="00FC5243" w:rsidRDefault="00FC5243" w:rsidP="00FC5243">
      <w:pPr>
        <w:pStyle w:val="ab"/>
      </w:pPr>
      <w:r>
        <w:rPr>
          <w:rStyle w:val="aff0"/>
        </w:rPr>
        <w:footnoteRef/>
      </w:r>
      <w:r>
        <w:t xml:space="preserve"> </w:t>
      </w:r>
      <w:r>
        <w:rPr>
          <w:rFonts w:ascii="Times New Roman" w:hAnsi="Times New Roman" w:cs="Times New Roman"/>
        </w:rPr>
        <w:t xml:space="preserve">Отчет об исполнении бюджета </w:t>
      </w:r>
      <w:r>
        <w:rPr>
          <w:rFonts w:ascii="Times New Roman" w:hAnsi="Times New Roman" w:cs="Times New Roman"/>
          <w:color w:val="000000"/>
        </w:rPr>
        <w:t>Консолидированный бюджет Российской Федерации и бюджетов государственных внебюджетных фондов. Информация официального сайта Федерального казначейства: </w:t>
      </w:r>
      <w:hyperlink r:id="rId2">
        <w:r>
          <w:rPr>
            <w:rFonts w:ascii="Times New Roman" w:hAnsi="Times New Roman" w:cs="Times New Roman"/>
          </w:rPr>
          <w:t>http://roskazna.ru/ispolnenie-byudzhetov/konsolidirovannyj-byudzhet/</w:t>
        </w:r>
      </w:hyperlink>
    </w:p>
  </w:footnote>
  <w:footnote w:id="12">
    <w:p w14:paraId="67A5C513" w14:textId="77777777" w:rsidR="00FC0A22" w:rsidRDefault="00FC0A22" w:rsidP="007C32A8">
      <w:pPr>
        <w:jc w:val="both"/>
        <w:rPr>
          <w:rFonts w:ascii="Times New Roman" w:hAnsi="Times New Roman" w:cs="Times New Roman"/>
          <w:sz w:val="20"/>
          <w:szCs w:val="20"/>
        </w:rPr>
      </w:pPr>
      <w:r>
        <w:rPr>
          <w:rStyle w:val="ad"/>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Так, например, Р. Солоу отождествлял технологические изменения в экономике с улучшением качественных (образовательных) характеристик рабочей силы: </w:t>
      </w:r>
      <w:r>
        <w:rPr>
          <w:rFonts w:ascii="Times New Roman" w:eastAsia="Times New Roman" w:hAnsi="Times New Roman" w:cs="Times New Roman"/>
          <w:sz w:val="20"/>
          <w:szCs w:val="20"/>
          <w:lang w:val="en-US" w:eastAsia="ru-RU"/>
        </w:rPr>
        <w:t>Solow</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R</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Technical</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Change</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and</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the</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Aggregate</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Production</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Function</w:t>
      </w:r>
      <w:r>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val="en-US" w:eastAsia="ru-RU"/>
        </w:rPr>
        <w:t>Review</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of</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Economics</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and</w:t>
      </w:r>
      <w:r w:rsidRPr="007C32A8">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Statistics</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en-US" w:eastAsia="ru-RU"/>
        </w:rPr>
        <w:t xml:space="preserve">1957. No 39. </w:t>
      </w:r>
      <w:r>
        <w:rPr>
          <w:rFonts w:ascii="Times New Roman" w:eastAsia="Times New Roman" w:hAnsi="Times New Roman" w:cs="Times New Roman"/>
          <w:sz w:val="20"/>
          <w:szCs w:val="20"/>
          <w:lang w:eastAsia="ru-RU"/>
        </w:rPr>
        <w:t>Р</w:t>
      </w:r>
      <w:r>
        <w:rPr>
          <w:rFonts w:ascii="Times New Roman" w:eastAsia="Times New Roman" w:hAnsi="Times New Roman" w:cs="Times New Roman"/>
          <w:sz w:val="20"/>
          <w:szCs w:val="20"/>
          <w:lang w:val="en-US" w:eastAsia="ru-RU"/>
        </w:rPr>
        <w:t xml:space="preserve">. </w:t>
      </w:r>
      <w:proofErr w:type="gramStart"/>
      <w:r>
        <w:rPr>
          <w:rFonts w:ascii="Times New Roman" w:eastAsia="Times New Roman" w:hAnsi="Times New Roman" w:cs="Times New Roman"/>
          <w:sz w:val="20"/>
          <w:szCs w:val="20"/>
          <w:lang w:val="en-US" w:eastAsia="ru-RU"/>
        </w:rPr>
        <w:t>312-320</w:t>
      </w:r>
      <w:proofErr w:type="gramEnd"/>
      <w:r>
        <w:rPr>
          <w:rFonts w:ascii="Times New Roman" w:eastAsia="Times New Roman" w:hAnsi="Times New Roman" w:cs="Times New Roman"/>
          <w:sz w:val="20"/>
          <w:szCs w:val="20"/>
          <w:lang w:val="en-US" w:eastAsia="ru-RU"/>
        </w:rPr>
        <w:t xml:space="preserve">.; Solow R. A Contribution to the Theory of Economic Growth // Quarterly Journal of Economics. </w:t>
      </w:r>
      <w:r>
        <w:rPr>
          <w:rFonts w:ascii="Times New Roman" w:eastAsia="Times New Roman" w:hAnsi="Times New Roman" w:cs="Times New Roman"/>
          <w:sz w:val="20"/>
          <w:szCs w:val="20"/>
          <w:lang w:eastAsia="ru-RU"/>
        </w:rPr>
        <w:t xml:space="preserve">1956. </w:t>
      </w:r>
      <w:r>
        <w:rPr>
          <w:rFonts w:ascii="Times New Roman" w:eastAsia="Times New Roman" w:hAnsi="Times New Roman" w:cs="Times New Roman"/>
          <w:sz w:val="20"/>
          <w:szCs w:val="20"/>
          <w:lang w:val="en-US" w:eastAsia="ru-RU"/>
        </w:rPr>
        <w:t>No</w:t>
      </w:r>
      <w:r>
        <w:rPr>
          <w:rFonts w:ascii="Times New Roman" w:eastAsia="Times New Roman" w:hAnsi="Times New Roman" w:cs="Times New Roman"/>
          <w:sz w:val="20"/>
          <w:szCs w:val="20"/>
          <w:lang w:eastAsia="ru-RU"/>
        </w:rPr>
        <w:t xml:space="preserve"> 70. Р. </w:t>
      </w:r>
      <w:proofErr w:type="gramStart"/>
      <w:r>
        <w:rPr>
          <w:rFonts w:ascii="Times New Roman" w:eastAsia="Times New Roman" w:hAnsi="Times New Roman" w:cs="Times New Roman"/>
          <w:sz w:val="20"/>
          <w:szCs w:val="20"/>
          <w:lang w:eastAsia="ru-RU"/>
        </w:rPr>
        <w:t>65-94</w:t>
      </w:r>
      <w:proofErr w:type="gramEnd"/>
      <w:r>
        <w:rPr>
          <w:rFonts w:ascii="Times New Roman" w:eastAsia="Times New Roman" w:hAnsi="Times New Roman" w:cs="Times New Roman"/>
          <w:sz w:val="20"/>
          <w:szCs w:val="20"/>
          <w:lang w:eastAsia="ru-RU"/>
        </w:rPr>
        <w:t xml:space="preserve">. </w:t>
      </w:r>
    </w:p>
  </w:footnote>
  <w:footnote w:id="13">
    <w:p w14:paraId="5D864936"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Карпухин Д. Н. Производительность общественного труда и народнохозяйственные пропорции. М.: Издательство «Мысль», 1972 г. – 317 с.; Струмилин С. Г. Проблемы экономики труда. Государственное издательство политической литературы, Москва, 1957; Трудовые ресурсы СССР. Под общей редакцией д. э. н., профессора Л. А. Костина. М.: «Экономика», 1979 г. – 304 с.; Хромов П. А. Производительность труда (теория, методология, динамика). Академия наук СССР Институт экономики. Издательство «Наука», Москва 1979.; Экономика труда. Руководитель авторского коллектива и научный редактор – д.э.н., проф., засл. экономист РФ А. Ф. Зубкова. Учебно-методическое пособие для государственных служащих. Институт труда Министерства труда и социального развития Российской Федерации. Москва. ЗАО «Финстатинформ» ИТД ЗАО «КноРус», 2002. – 490 с.</w:t>
      </w:r>
    </w:p>
  </w:footnote>
  <w:footnote w:id="14">
    <w:p w14:paraId="03B37842"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Узякова Е.С. Производительность труда и возможности роста экономики. Журнал ЭКО №6 2020 с. </w:t>
      </w:r>
      <w:proofErr w:type="gramStart"/>
      <w:r>
        <w:rPr>
          <w:rFonts w:ascii="Times New Roman" w:hAnsi="Times New Roman" w:cs="Times New Roman"/>
        </w:rPr>
        <w:t>87-110</w:t>
      </w:r>
      <w:proofErr w:type="gramEnd"/>
      <w:r>
        <w:rPr>
          <w:rFonts w:ascii="Times New Roman" w:hAnsi="Times New Roman" w:cs="Times New Roman"/>
        </w:rPr>
        <w:t>.</w:t>
      </w:r>
    </w:p>
  </w:footnote>
  <w:footnote w:id="15">
    <w:p w14:paraId="17193513"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См. Базу данных </w:t>
      </w:r>
      <w:r>
        <w:rPr>
          <w:rFonts w:ascii="Times New Roman" w:hAnsi="Times New Roman" w:cs="Times New Roman"/>
          <w:lang w:val="en-US"/>
        </w:rPr>
        <w:t>WIOD</w:t>
      </w:r>
      <w:r>
        <w:rPr>
          <w:rFonts w:ascii="Times New Roman" w:hAnsi="Times New Roman" w:cs="Times New Roman"/>
        </w:rPr>
        <w:t>, (</w:t>
      </w:r>
      <w:r>
        <w:rPr>
          <w:rFonts w:ascii="Times New Roman" w:hAnsi="Times New Roman" w:cs="Times New Roman"/>
          <w:lang w:val="en-US"/>
        </w:rPr>
        <w:t>World</w:t>
      </w:r>
      <w:r w:rsidRPr="007C32A8">
        <w:rPr>
          <w:rFonts w:ascii="Times New Roman" w:hAnsi="Times New Roman" w:cs="Times New Roman"/>
        </w:rPr>
        <w:t xml:space="preserve"> </w:t>
      </w:r>
      <w:r>
        <w:rPr>
          <w:rFonts w:ascii="Times New Roman" w:hAnsi="Times New Roman" w:cs="Times New Roman"/>
          <w:lang w:val="en-US"/>
        </w:rPr>
        <w:t>Input</w:t>
      </w:r>
      <w:r>
        <w:rPr>
          <w:rFonts w:ascii="Times New Roman" w:hAnsi="Times New Roman" w:cs="Times New Roman"/>
        </w:rPr>
        <w:t>-</w:t>
      </w:r>
      <w:r>
        <w:rPr>
          <w:rFonts w:ascii="Times New Roman" w:hAnsi="Times New Roman" w:cs="Times New Roman"/>
          <w:lang w:val="en-US"/>
        </w:rPr>
        <w:t>Output</w:t>
      </w:r>
      <w:r w:rsidRPr="007C32A8">
        <w:rPr>
          <w:rFonts w:ascii="Times New Roman" w:hAnsi="Times New Roman" w:cs="Times New Roman"/>
        </w:rPr>
        <w:t xml:space="preserve"> </w:t>
      </w:r>
      <w:r>
        <w:rPr>
          <w:rFonts w:ascii="Times New Roman" w:hAnsi="Times New Roman" w:cs="Times New Roman"/>
          <w:lang w:val="en-US"/>
        </w:rPr>
        <w:t>Database</w:t>
      </w:r>
      <w:r>
        <w:rPr>
          <w:rFonts w:ascii="Times New Roman" w:hAnsi="Times New Roman" w:cs="Times New Roman"/>
        </w:rPr>
        <w:t>) [</w:t>
      </w:r>
      <w:r>
        <w:rPr>
          <w:rFonts w:ascii="Times New Roman" w:hAnsi="Times New Roman" w:cs="Times New Roman"/>
          <w:lang w:val="en-US"/>
        </w:rPr>
        <w:t>http</w:t>
      </w:r>
      <w:r>
        <w:rPr>
          <w:rFonts w:ascii="Times New Roman" w:hAnsi="Times New Roman" w:cs="Times New Roman"/>
        </w:rPr>
        <w:t>://</w:t>
      </w:r>
      <w:r>
        <w:rPr>
          <w:rFonts w:ascii="Times New Roman" w:hAnsi="Times New Roman" w:cs="Times New Roman"/>
          <w:lang w:val="en-US"/>
        </w:rPr>
        <w:t>www</w:t>
      </w:r>
      <w:r>
        <w:rPr>
          <w:rFonts w:ascii="Times New Roman" w:hAnsi="Times New Roman" w:cs="Times New Roman"/>
        </w:rPr>
        <w:t>.</w:t>
      </w:r>
      <w:r>
        <w:rPr>
          <w:rFonts w:ascii="Times New Roman" w:hAnsi="Times New Roman" w:cs="Times New Roman"/>
          <w:lang w:val="en-US"/>
        </w:rPr>
        <w:t>wiod</w:t>
      </w:r>
      <w:r>
        <w:rPr>
          <w:rFonts w:ascii="Times New Roman" w:hAnsi="Times New Roman" w:cs="Times New Roman"/>
        </w:rPr>
        <w:t>.</w:t>
      </w:r>
      <w:r>
        <w:rPr>
          <w:rFonts w:ascii="Times New Roman" w:hAnsi="Times New Roman" w:cs="Times New Roman"/>
          <w:lang w:val="en-US"/>
        </w:rPr>
        <w:t>org</w:t>
      </w:r>
      <w:r>
        <w:rPr>
          <w:rFonts w:ascii="Times New Roman" w:hAnsi="Times New Roman" w:cs="Times New Roman"/>
        </w:rPr>
        <w:t>/</w:t>
      </w:r>
      <w:r>
        <w:rPr>
          <w:rFonts w:ascii="Times New Roman" w:hAnsi="Times New Roman" w:cs="Times New Roman"/>
          <w:lang w:val="en-US"/>
        </w:rPr>
        <w:t>home</w:t>
      </w:r>
      <w:r>
        <w:rPr>
          <w:rFonts w:ascii="Times New Roman" w:hAnsi="Times New Roman" w:cs="Times New Roman"/>
        </w:rPr>
        <w:t>] и базу данных ОЭСР [</w:t>
      </w:r>
      <w:r>
        <w:rPr>
          <w:rFonts w:ascii="Times New Roman" w:hAnsi="Times New Roman" w:cs="Times New Roman"/>
          <w:lang w:val="en-US"/>
        </w:rPr>
        <w:t>https</w:t>
      </w:r>
      <w:r>
        <w:rPr>
          <w:rFonts w:ascii="Times New Roman" w:hAnsi="Times New Roman" w:cs="Times New Roman"/>
        </w:rPr>
        <w:t>://</w:t>
      </w:r>
      <w:r>
        <w:rPr>
          <w:rFonts w:ascii="Times New Roman" w:hAnsi="Times New Roman" w:cs="Times New Roman"/>
          <w:lang w:val="en-US"/>
        </w:rPr>
        <w:t>data</w:t>
      </w:r>
      <w:r>
        <w:rPr>
          <w:rFonts w:ascii="Times New Roman" w:hAnsi="Times New Roman" w:cs="Times New Roman"/>
        </w:rPr>
        <w:t>.</w:t>
      </w:r>
      <w:r>
        <w:rPr>
          <w:rFonts w:ascii="Times New Roman" w:hAnsi="Times New Roman" w:cs="Times New Roman"/>
          <w:lang w:val="en-US"/>
        </w:rPr>
        <w:t>oecd</w:t>
      </w:r>
      <w:r>
        <w:rPr>
          <w:rFonts w:ascii="Times New Roman" w:hAnsi="Times New Roman" w:cs="Times New Roman"/>
        </w:rPr>
        <w:t>.</w:t>
      </w:r>
      <w:r>
        <w:rPr>
          <w:rFonts w:ascii="Times New Roman" w:hAnsi="Times New Roman" w:cs="Times New Roman"/>
          <w:lang w:val="en-US"/>
        </w:rPr>
        <w:t>org</w:t>
      </w:r>
      <w:r>
        <w:rPr>
          <w:rFonts w:ascii="Times New Roman" w:hAnsi="Times New Roman" w:cs="Times New Roman"/>
        </w:rPr>
        <w:t>/]</w:t>
      </w:r>
    </w:p>
  </w:footnote>
  <w:footnote w:id="16">
    <w:p w14:paraId="3D15DD1D"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данные рассчитаны с использованием статистики ОЭСР [</w:t>
      </w:r>
      <w:hyperlink r:id="rId3" w:history="1">
        <w:r>
          <w:rPr>
            <w:rStyle w:val="af"/>
            <w:rFonts w:ascii="Times New Roman" w:hAnsi="Times New Roman" w:cs="Times New Roman"/>
          </w:rPr>
          <w:t>https://data.oecd.org/</w:t>
        </w:r>
      </w:hyperlink>
      <w:r>
        <w:rPr>
          <w:rStyle w:val="af"/>
          <w:rFonts w:ascii="Times New Roman" w:hAnsi="Times New Roman" w:cs="Times New Roman"/>
        </w:rPr>
        <w:t>]</w:t>
      </w:r>
    </w:p>
  </w:footnote>
  <w:footnote w:id="17">
    <w:p w14:paraId="0AD078C1"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Величина, обратная материалоемкости по первичным ресурсам. Показывает, что стоимость произведенной в 2017 г продукции была в 5,5 раз выше, чем стоимость затраченных на это первичных ресурсов. Рассчитана с использованием данных межотраслевых балансов за период </w:t>
      </w:r>
      <w:proofErr w:type="gramStart"/>
      <w:r>
        <w:rPr>
          <w:rFonts w:ascii="Times New Roman" w:hAnsi="Times New Roman" w:cs="Times New Roman"/>
        </w:rPr>
        <w:t>1980-2017</w:t>
      </w:r>
      <w:proofErr w:type="gramEnd"/>
      <w:r>
        <w:rPr>
          <w:rFonts w:ascii="Times New Roman" w:hAnsi="Times New Roman" w:cs="Times New Roman"/>
        </w:rPr>
        <w:t xml:space="preserve"> гг. </w:t>
      </w:r>
    </w:p>
  </w:footnote>
  <w:footnote w:id="18">
    <w:p w14:paraId="7AB54812" w14:textId="77777777" w:rsidR="00FC0A22" w:rsidRDefault="00FC0A22" w:rsidP="007C32A8">
      <w:pPr>
        <w:spacing w:after="0" w:line="240" w:lineRule="auto"/>
        <w:jc w:val="both"/>
        <w:rPr>
          <w:rFonts w:ascii="Times New Roman" w:eastAsia="Times New Roman" w:hAnsi="Times New Roman" w:cs="Times New Roman"/>
          <w:sz w:val="20"/>
          <w:szCs w:val="20"/>
          <w:lang w:eastAsia="ru-RU"/>
        </w:rPr>
      </w:pPr>
      <w:r>
        <w:rPr>
          <w:rStyle w:val="ad"/>
          <w:rFonts w:ascii="Times New Roman" w:hAnsi="Times New Roman" w:cs="Times New Roman"/>
          <w:sz w:val="20"/>
          <w:szCs w:val="20"/>
        </w:rPr>
        <w:footnoteRef/>
      </w:r>
      <w:r>
        <w:rPr>
          <w:rFonts w:ascii="Times New Roman" w:hAnsi="Times New Roman" w:cs="Times New Roman"/>
          <w:sz w:val="20"/>
          <w:szCs w:val="20"/>
        </w:rPr>
        <w:t xml:space="preserve"> В данном случае речь идет о материалоемкости по первичным ресурсам, изменяющейся за счет именно технологических факторов (без учета структурных изменений). Для России именно они наиболее значимы, тогда как в Японии «основная часть снижения материалоемкости объясняется сдвигами в структуре производства» [</w:t>
      </w:r>
      <w:r>
        <w:rPr>
          <w:rFonts w:ascii="Times New Roman" w:eastAsia="Times New Roman" w:hAnsi="Times New Roman" w:cs="Times New Roman"/>
          <w:sz w:val="20"/>
          <w:szCs w:val="20"/>
          <w:lang w:eastAsia="ru-RU"/>
        </w:rPr>
        <w:t xml:space="preserve">Узяков М.Н. Эффективность использования первичных ресурсов как индикатор технологического развития: ретроспективный анализ и прогноз // Проблемы прогнозирования М.: Наука/Интерпериодика, 2011. № 2. – </w:t>
      </w:r>
      <w:proofErr w:type="gramStart"/>
      <w:r>
        <w:rPr>
          <w:rFonts w:ascii="Times New Roman" w:eastAsia="Times New Roman" w:hAnsi="Times New Roman" w:cs="Times New Roman"/>
          <w:sz w:val="20"/>
          <w:szCs w:val="20"/>
          <w:lang w:eastAsia="ru-RU"/>
        </w:rPr>
        <w:t>3-18</w:t>
      </w:r>
      <w:proofErr w:type="gramEnd"/>
      <w:r>
        <w:rPr>
          <w:rFonts w:ascii="Times New Roman" w:eastAsia="Times New Roman" w:hAnsi="Times New Roman" w:cs="Times New Roman"/>
          <w:sz w:val="20"/>
          <w:szCs w:val="20"/>
          <w:lang w:eastAsia="ru-RU"/>
        </w:rPr>
        <w:t xml:space="preserve"> с.</w:t>
      </w:r>
      <w:r>
        <w:rPr>
          <w:rFonts w:ascii="Times New Roman" w:hAnsi="Times New Roman" w:cs="Times New Roman"/>
          <w:sz w:val="20"/>
          <w:szCs w:val="20"/>
        </w:rPr>
        <w:t>, с. 10].</w:t>
      </w:r>
    </w:p>
  </w:footnote>
  <w:footnote w:id="19">
    <w:p w14:paraId="179AD114" w14:textId="77777777" w:rsidR="00FC0A22" w:rsidRDefault="00FC0A22" w:rsidP="007C32A8">
      <w:pPr>
        <w:pStyle w:val="ab"/>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Узякова Е.С. Производительность труда и возможности роста экономики. Журнал ЭКО №6 2020 с. </w:t>
      </w:r>
      <w:proofErr w:type="gramStart"/>
      <w:r>
        <w:rPr>
          <w:rFonts w:ascii="Times New Roman" w:hAnsi="Times New Roman" w:cs="Times New Roman"/>
        </w:rPr>
        <w:t>87-110</w:t>
      </w:r>
      <w:proofErr w:type="gramEnd"/>
      <w:r>
        <w:rPr>
          <w:rFonts w:ascii="Times New Roman" w:hAnsi="Times New Roman" w:cs="Times New Roman"/>
        </w:rPr>
        <w:t>.</w:t>
      </w:r>
    </w:p>
    <w:p w14:paraId="2953AD88" w14:textId="77777777" w:rsidR="00FC0A22" w:rsidRDefault="00FC0A22" w:rsidP="007C32A8">
      <w:pPr>
        <w:pStyle w:val="ab"/>
        <w:rPr>
          <w:rFonts w:ascii="Times New Roman" w:hAnsi="Times New Roman" w:cs="Times New Roman"/>
        </w:rPr>
      </w:pPr>
    </w:p>
  </w:footnote>
  <w:footnote w:id="20">
    <w:p w14:paraId="0A34F5E7" w14:textId="77777777" w:rsidR="00FC0A22" w:rsidRDefault="00FC0A22" w:rsidP="007C32A8">
      <w:pPr>
        <w:spacing w:after="0" w:line="240" w:lineRule="auto"/>
        <w:jc w:val="both"/>
        <w:rPr>
          <w:rFonts w:ascii="Times New Roman" w:eastAsia="Times New Roman" w:hAnsi="Times New Roman" w:cs="Times New Roman"/>
          <w:sz w:val="20"/>
          <w:szCs w:val="20"/>
          <w:lang w:eastAsia="ru-RU"/>
        </w:rPr>
      </w:pPr>
      <w:r>
        <w:rPr>
          <w:rStyle w:val="ad"/>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Экономика труда и социально-трудовые отношения. Под ред. Г. Г. Меликьяна, Р. П. Колосовой. – М.: Изд-во МГУ, Изд-во ЧЕРО, 1996. – 623 с.</w:t>
      </w:r>
    </w:p>
  </w:footnote>
  <w:footnote w:id="21">
    <w:p w14:paraId="2CCA5AF0" w14:textId="77777777" w:rsidR="00FC0A22" w:rsidRDefault="00FC0A22" w:rsidP="007C32A8">
      <w:pPr>
        <w:spacing w:after="0" w:line="240" w:lineRule="auto"/>
        <w:jc w:val="both"/>
        <w:rPr>
          <w:rFonts w:ascii="Times New Roman" w:eastAsia="Times New Roman" w:hAnsi="Times New Roman" w:cs="Times New Roman"/>
          <w:sz w:val="20"/>
          <w:szCs w:val="20"/>
          <w:lang w:eastAsia="ru-RU"/>
        </w:rPr>
      </w:pPr>
      <w:r>
        <w:rPr>
          <w:rStyle w:val="ad"/>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Ивантер В.В. Рецепт Обломова – меньше работаешь – лучше живешь «Эксперт» №36 (1132), Электронный ресурс: </w:t>
      </w:r>
      <w:hyperlink r:id="rId4" w:history="1">
        <w:r>
          <w:rPr>
            <w:rStyle w:val="af"/>
            <w:rFonts w:ascii="Times New Roman" w:eastAsia="Times New Roman" w:hAnsi="Times New Roman" w:cs="Times New Roman"/>
            <w:color w:val="auto"/>
            <w:sz w:val="20"/>
            <w:szCs w:val="20"/>
            <w:lang w:eastAsia="ru-RU"/>
          </w:rPr>
          <w:t>https://expert.ru/expert/2019/36/retsept-oblomova-menshe-rabotaesh---luchshe-zhivesh/</w:t>
        </w:r>
      </w:hyperlink>
    </w:p>
  </w:footnote>
  <w:footnote w:id="22">
    <w:p w14:paraId="6A0F6F9E"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Для расчетов использовалась статистика </w:t>
      </w:r>
      <w:r>
        <w:rPr>
          <w:rFonts w:ascii="Times New Roman" w:hAnsi="Times New Roman" w:cs="Times New Roman"/>
          <w:lang w:val="en-US"/>
        </w:rPr>
        <w:t>WIOD</w:t>
      </w:r>
      <w:r>
        <w:rPr>
          <w:rFonts w:ascii="Times New Roman" w:hAnsi="Times New Roman" w:cs="Times New Roman"/>
        </w:rPr>
        <w:t xml:space="preserve"> за период </w:t>
      </w:r>
      <w:proofErr w:type="gramStart"/>
      <w:r>
        <w:rPr>
          <w:rFonts w:ascii="Times New Roman" w:hAnsi="Times New Roman" w:cs="Times New Roman"/>
        </w:rPr>
        <w:t>2000-2014</w:t>
      </w:r>
      <w:proofErr w:type="gramEnd"/>
      <w:r>
        <w:rPr>
          <w:rFonts w:ascii="Times New Roman" w:hAnsi="Times New Roman" w:cs="Times New Roman"/>
        </w:rPr>
        <w:t xml:space="preserve"> гг, и базы данных </w:t>
      </w:r>
      <w:r>
        <w:rPr>
          <w:rFonts w:ascii="Times New Roman" w:hAnsi="Times New Roman" w:cs="Times New Roman"/>
          <w:lang w:val="en-US"/>
        </w:rPr>
        <w:t>OECD</w:t>
      </w:r>
      <w:r>
        <w:rPr>
          <w:rFonts w:ascii="Times New Roman" w:hAnsi="Times New Roman" w:cs="Times New Roman"/>
        </w:rPr>
        <w:t>.</w:t>
      </w:r>
    </w:p>
  </w:footnote>
  <w:footnote w:id="23">
    <w:p w14:paraId="6D39F6B5"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Рассчитано с использованием курсов национальных валют рассматриваемых стран.</w:t>
      </w:r>
    </w:p>
  </w:footnote>
  <w:footnote w:id="24">
    <w:p w14:paraId="63BA76B0" w14:textId="77777777" w:rsidR="00FC0A22" w:rsidRDefault="00FC0A22" w:rsidP="007C32A8">
      <w:pPr>
        <w:pStyle w:val="ab"/>
        <w:jc w:val="both"/>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Оценки были получены с использованием замкнутого модельного расчета уровня сопоставимых цен и ППС по видам экономической деятельности на основе международных сопоставлений уровня цен по товарным группам за ряд лет (данные Росстата), данных </w:t>
      </w:r>
      <w:r>
        <w:rPr>
          <w:rFonts w:ascii="Times New Roman" w:hAnsi="Times New Roman" w:cs="Times New Roman"/>
          <w:lang w:val="en-US"/>
        </w:rPr>
        <w:t>WIOD</w:t>
      </w:r>
      <w:r>
        <w:rPr>
          <w:rFonts w:ascii="Times New Roman" w:hAnsi="Times New Roman" w:cs="Times New Roman"/>
        </w:rPr>
        <w:t xml:space="preserve"> о фонде оплаты труда по видам деятельности и численности занятого населения, и данных </w:t>
      </w:r>
      <w:r>
        <w:rPr>
          <w:rFonts w:ascii="Times New Roman" w:hAnsi="Times New Roman" w:cs="Times New Roman"/>
          <w:lang w:val="en-US"/>
        </w:rPr>
        <w:t>OECD</w:t>
      </w:r>
      <w:r>
        <w:rPr>
          <w:rFonts w:ascii="Times New Roman" w:hAnsi="Times New Roman" w:cs="Times New Roman"/>
        </w:rPr>
        <w:t xml:space="preserve"> о международных сопоставлениях ППС за ряд лет.</w:t>
      </w:r>
    </w:p>
  </w:footnote>
  <w:footnote w:id="25">
    <w:p w14:paraId="03681E60" w14:textId="77777777" w:rsidR="00FC0A22" w:rsidRDefault="00FC0A22" w:rsidP="007C32A8">
      <w:pPr>
        <w:spacing w:after="0" w:line="240" w:lineRule="auto"/>
        <w:jc w:val="both"/>
        <w:rPr>
          <w:rFonts w:ascii="Times New Roman" w:eastAsia="Times New Roman" w:hAnsi="Times New Roman" w:cs="Times New Roman"/>
          <w:sz w:val="20"/>
          <w:szCs w:val="20"/>
          <w:lang w:eastAsia="ru-RU"/>
        </w:rPr>
      </w:pPr>
      <w:r>
        <w:rPr>
          <w:rStyle w:val="ad"/>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ru-RU"/>
        </w:rPr>
        <w:t xml:space="preserve">Трансформация структуры экономики: механизмы и управление. Монография под науч. ред. </w:t>
      </w:r>
      <w:proofErr w:type="gramStart"/>
      <w:r>
        <w:rPr>
          <w:rFonts w:ascii="Times New Roman" w:eastAsia="Times New Roman" w:hAnsi="Times New Roman" w:cs="Times New Roman"/>
          <w:sz w:val="20"/>
          <w:szCs w:val="20"/>
          <w:lang w:eastAsia="ru-RU"/>
        </w:rPr>
        <w:t>А.А.</w:t>
      </w:r>
      <w:proofErr w:type="gramEnd"/>
      <w:r>
        <w:rPr>
          <w:rFonts w:ascii="Times New Roman" w:eastAsia="Times New Roman" w:hAnsi="Times New Roman" w:cs="Times New Roman"/>
          <w:sz w:val="20"/>
          <w:szCs w:val="20"/>
          <w:lang w:eastAsia="ru-RU"/>
        </w:rPr>
        <w:t xml:space="preserve"> Широва – Москва: МАКС Пресс, 2018. – 264 с.</w:t>
      </w:r>
    </w:p>
    <w:p w14:paraId="4C61F395" w14:textId="77777777" w:rsidR="00FC0A22" w:rsidRDefault="00FC0A22" w:rsidP="007C32A8">
      <w:pPr>
        <w:pStyle w:val="ab"/>
      </w:pPr>
    </w:p>
  </w:footnote>
  <w:footnote w:id="26">
    <w:p w14:paraId="64CA897F" w14:textId="77777777" w:rsidR="00FC0A22" w:rsidRDefault="00FC0A22" w:rsidP="007C32A8">
      <w:pPr>
        <w:pStyle w:val="ab"/>
        <w:rPr>
          <w:rFonts w:ascii="Times New Roman" w:hAnsi="Times New Roman" w:cs="Times New Roman"/>
        </w:rPr>
      </w:pPr>
      <w:r>
        <w:rPr>
          <w:rStyle w:val="ad"/>
          <w:rFonts w:ascii="Times New Roman" w:hAnsi="Times New Roman" w:cs="Times New Roman"/>
        </w:rPr>
        <w:footnoteRef/>
      </w:r>
      <w:r>
        <w:rPr>
          <w:rFonts w:ascii="Times New Roman" w:hAnsi="Times New Roman" w:cs="Times New Roman"/>
        </w:rPr>
        <w:t xml:space="preserve"> Выполненным на основе данных расчетных межотраслевых балансов ИНП РАН.</w:t>
      </w:r>
    </w:p>
  </w:footnote>
  <w:footnote w:id="27">
    <w:p w14:paraId="4909BC54" w14:textId="77777777" w:rsidR="00FC0A22" w:rsidRDefault="00FC0A22" w:rsidP="007C32A8">
      <w:pPr>
        <w:pStyle w:val="ab"/>
      </w:pPr>
      <w:r>
        <w:rPr>
          <w:rStyle w:val="ad"/>
        </w:rPr>
        <w:footnoteRef/>
      </w:r>
      <w:r>
        <w:t xml:space="preserve"> </w:t>
      </w:r>
      <w:r>
        <w:rPr>
          <w:rFonts w:ascii="Times New Roman" w:eastAsia="Times New Roman" w:hAnsi="Times New Roman" w:cs="Times New Roman"/>
          <w:lang w:eastAsia="ru-RU"/>
        </w:rPr>
        <w:t xml:space="preserve">Капелюшников Р.И. Технологический прогресс – пожиратель рабочих мест? Вопросы экономики 2017 №11 с </w:t>
      </w:r>
      <w:proofErr w:type="gramStart"/>
      <w:r>
        <w:rPr>
          <w:rFonts w:ascii="Times New Roman" w:eastAsia="Times New Roman" w:hAnsi="Times New Roman" w:cs="Times New Roman"/>
          <w:lang w:eastAsia="ru-RU"/>
        </w:rPr>
        <w:t>111-140</w:t>
      </w:r>
      <w:proofErr w:type="gramEnd"/>
      <w:r>
        <w:rPr>
          <w:rFonts w:ascii="Times New Roman" w:eastAsia="Times New Roman" w:hAnsi="Times New Roman" w:cs="Times New Roman"/>
          <w:lang w:eastAsia="ru-RU"/>
        </w:rPr>
        <w:t>.</w:t>
      </w:r>
    </w:p>
  </w:footnote>
  <w:footnote w:id="28">
    <w:p w14:paraId="7D263F38" w14:textId="77777777" w:rsidR="00FC0A22" w:rsidRPr="001277FF" w:rsidRDefault="00FC0A22" w:rsidP="007C32A8">
      <w:pPr>
        <w:pStyle w:val="ab"/>
        <w:rPr>
          <w:rFonts w:ascii="Times New Roman" w:hAnsi="Times New Roman" w:cs="Times New Roman"/>
        </w:rPr>
      </w:pPr>
      <w:r w:rsidRPr="001277FF">
        <w:rPr>
          <w:rStyle w:val="ad"/>
          <w:rFonts w:ascii="Times New Roman" w:hAnsi="Times New Roman" w:cs="Times New Roman"/>
        </w:rPr>
        <w:footnoteRef/>
      </w:r>
      <w:r w:rsidRPr="001277FF">
        <w:rPr>
          <w:rFonts w:ascii="Times New Roman" w:hAnsi="Times New Roman" w:cs="Times New Roman"/>
        </w:rPr>
        <w:t xml:space="preserve"> Гость Татьяна Голикова. Познер. Выпуск от 28.12.2020.</w:t>
      </w:r>
      <w:r>
        <w:rPr>
          <w:rFonts w:ascii="Times New Roman" w:hAnsi="Times New Roman" w:cs="Times New Roman"/>
        </w:rPr>
        <w:t xml:space="preserve"> Электронный ресурс:</w:t>
      </w:r>
      <w:r w:rsidRPr="001277FF">
        <w:rPr>
          <w:rFonts w:ascii="Times New Roman" w:hAnsi="Times New Roman" w:cs="Times New Roman"/>
        </w:rPr>
        <w:t xml:space="preserve"> </w:t>
      </w:r>
      <w:hyperlink r:id="rId5" w:history="1">
        <w:r w:rsidRPr="001277FF">
          <w:rPr>
            <w:rStyle w:val="af"/>
            <w:rFonts w:ascii="Times New Roman" w:hAnsi="Times New Roman" w:cs="Times New Roman"/>
          </w:rPr>
          <w:t>https://www.1tv.ru/shows/pozner/vypuski/gost-tatyana-golikova-pozner-vypusk-ot-28-12-2020</w:t>
        </w:r>
      </w:hyperlink>
      <w:r w:rsidRPr="001277FF">
        <w:rPr>
          <w:rFonts w:ascii="Times New Roman" w:hAnsi="Times New Roman" w:cs="Times New Roman"/>
        </w:rPr>
        <w:t xml:space="preserve"> </w:t>
      </w:r>
    </w:p>
  </w:footnote>
  <w:footnote w:id="29">
    <w:p w14:paraId="3F5436D6"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Karl Widerquist, (2005), A failure to communicate: what (if anything) can we learn from the negative income tax </w:t>
      </w:r>
      <w:proofErr w:type="gramStart"/>
      <w:r w:rsidRPr="00D9654E">
        <w:rPr>
          <w:rFonts w:ascii="Times New Roman" w:hAnsi="Times New Roman" w:cs="Times New Roman"/>
          <w:lang w:val="en-US"/>
        </w:rPr>
        <w:t>experiments?,</w:t>
      </w:r>
      <w:proofErr w:type="gramEnd"/>
      <w:r w:rsidRPr="00D9654E">
        <w:rPr>
          <w:rFonts w:ascii="Times New Roman" w:hAnsi="Times New Roman" w:cs="Times New Roman"/>
          <w:lang w:val="en-US"/>
        </w:rPr>
        <w:t xml:space="preserve"> The Journal of Socio-Economics, Volume 34, Issue 1, 2005, Pages 49-81, ISSN 1053-5357</w:t>
      </w:r>
    </w:p>
  </w:footnote>
  <w:footnote w:id="30">
    <w:p w14:paraId="1CC89460"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Jones D., Marinescu I. (2018). The Labor Market Impacts of Universal and Permanent Cash Transfers: Evidence from the Alaska Permanent Fund. NBER Working Paper, 24312.</w:t>
      </w:r>
    </w:p>
  </w:footnote>
  <w:footnote w:id="31">
    <w:p w14:paraId="55F0D82D"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Evans D., Popova A. (2014). Cash transfers and temptation goods; A review of global evidence. World Bank Policy Research Working Paper, 6886.</w:t>
      </w:r>
    </w:p>
  </w:footnote>
  <w:footnote w:id="32">
    <w:p w14:paraId="13A2241F"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Haushofer J., Shapiro J. (2013). Household response to income changes: evidence from an unconditional cash transfer program in Kenya. Working paper.</w:t>
      </w:r>
    </w:p>
  </w:footnote>
  <w:footnote w:id="33">
    <w:p w14:paraId="4E5070B5"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Arya A. et al. (2014). A little more, how much it is… Piloting basic income transfers in Madhya Pradesh, India.</w:t>
      </w:r>
    </w:p>
  </w:footnote>
  <w:footnote w:id="34">
    <w:p w14:paraId="7F00B979" w14:textId="77777777" w:rsidR="00FC0A22" w:rsidRPr="00D9654E" w:rsidRDefault="00FC0A22" w:rsidP="007C32A8">
      <w:pPr>
        <w:pStyle w:val="ab"/>
        <w:rPr>
          <w:rFonts w:ascii="Times New Roman" w:hAnsi="Times New Roman" w:cs="Times New Roman"/>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Forget, E.L. (2011). The Town with no Poverty: Using Health Administration Data to Revisit Outcomes of a Canadian Guaranteed Annual Income Field Experiment, Canadian Public Policy 37 (3):283-305.</w:t>
      </w:r>
    </w:p>
  </w:footnote>
  <w:footnote w:id="35">
    <w:p w14:paraId="59D86279" w14:textId="77777777" w:rsidR="00FC0A22" w:rsidRPr="00A43411" w:rsidRDefault="00FC0A22" w:rsidP="007C32A8">
      <w:pPr>
        <w:pStyle w:val="ab"/>
        <w:rPr>
          <w:lang w:val="en-US"/>
        </w:rPr>
      </w:pPr>
      <w:r w:rsidRPr="00D9654E">
        <w:rPr>
          <w:rStyle w:val="ad"/>
          <w:rFonts w:ascii="Times New Roman" w:hAnsi="Times New Roman" w:cs="Times New Roman"/>
        </w:rPr>
        <w:footnoteRef/>
      </w:r>
      <w:r w:rsidRPr="00D9654E">
        <w:rPr>
          <w:rFonts w:ascii="Times New Roman" w:hAnsi="Times New Roman" w:cs="Times New Roman"/>
          <w:lang w:val="en-US"/>
        </w:rPr>
        <w:t xml:space="preserve"> Kirchner L. et al. (2019). Report on the preliminary results of the B-MINCOME project (2017-18). Combining a guaranteed minimum income and active social policies in deprived urban areas of Barcelona.</w:t>
      </w:r>
      <w:r w:rsidRPr="00A43411">
        <w:rPr>
          <w:lang w:val="en-US"/>
        </w:rPr>
        <w:t xml:space="preserve"> </w:t>
      </w:r>
    </w:p>
  </w:footnote>
  <w:footnote w:id="36">
    <w:p w14:paraId="5D469E30" w14:textId="77777777" w:rsidR="00FC0A22" w:rsidRPr="00F308A3" w:rsidRDefault="00FC0A22" w:rsidP="007C32A8">
      <w:pPr>
        <w:pStyle w:val="ab"/>
        <w:rPr>
          <w:rFonts w:ascii="Times New Roman" w:hAnsi="Times New Roman" w:cs="Times New Roman"/>
          <w:lang w:val="en-US"/>
        </w:rPr>
      </w:pPr>
      <w:r w:rsidRPr="00F308A3">
        <w:rPr>
          <w:rStyle w:val="ad"/>
          <w:rFonts w:ascii="Times New Roman" w:hAnsi="Times New Roman" w:cs="Times New Roman"/>
        </w:rPr>
        <w:footnoteRef/>
      </w:r>
      <w:r w:rsidRPr="00F308A3">
        <w:rPr>
          <w:rFonts w:ascii="Times New Roman" w:hAnsi="Times New Roman" w:cs="Times New Roman"/>
          <w:lang w:val="en-US"/>
        </w:rPr>
        <w:t xml:space="preserve"> Chung W., Ha H. &amp; Kim B. (2016) «Money Transfer and Birth Weight: Evidence from the Alaska Permanent Fund Dividend» Econ Inq 54: 576-590. doi:10.1111/ecin.12235</w:t>
      </w:r>
    </w:p>
  </w:footnote>
  <w:footnote w:id="37">
    <w:p w14:paraId="792F764B" w14:textId="77777777" w:rsidR="00FC0A22" w:rsidRPr="00B31FF0" w:rsidRDefault="00FC0A22" w:rsidP="007C32A8">
      <w:pPr>
        <w:pStyle w:val="ab"/>
        <w:rPr>
          <w:rFonts w:ascii="Times New Roman" w:hAnsi="Times New Roman" w:cs="Times New Roman"/>
          <w:lang w:val="en-US"/>
        </w:rPr>
      </w:pPr>
      <w:r w:rsidRPr="002E021F">
        <w:rPr>
          <w:rStyle w:val="ad"/>
          <w:rFonts w:ascii="Times New Roman" w:hAnsi="Times New Roman" w:cs="Times New Roman"/>
        </w:rPr>
        <w:footnoteRef/>
      </w:r>
      <w:r w:rsidRPr="002E021F">
        <w:rPr>
          <w:rFonts w:ascii="Times New Roman" w:hAnsi="Times New Roman" w:cs="Times New Roman"/>
          <w:lang w:val="en-US"/>
        </w:rPr>
        <w:t xml:space="preserve"> Haarmann C. et al. (2019). Making the difference! The BIG in Namibia; Basic Income Grant pilot project assessment report.</w:t>
      </w:r>
    </w:p>
  </w:footnote>
  <w:footnote w:id="38">
    <w:p w14:paraId="2CDA19CD" w14:textId="77777777" w:rsidR="00FC0A22" w:rsidRPr="002E021F" w:rsidRDefault="00FC0A22" w:rsidP="007C32A8">
      <w:pPr>
        <w:pStyle w:val="ab"/>
        <w:rPr>
          <w:rFonts w:ascii="Times New Roman" w:hAnsi="Times New Roman" w:cs="Times New Roman"/>
        </w:rPr>
      </w:pPr>
      <w:r w:rsidRPr="002E021F">
        <w:rPr>
          <w:rStyle w:val="ad"/>
          <w:rFonts w:ascii="Times New Roman" w:hAnsi="Times New Roman" w:cs="Times New Roman"/>
        </w:rPr>
        <w:footnoteRef/>
      </w:r>
      <w:r w:rsidRPr="002E021F">
        <w:rPr>
          <w:rFonts w:ascii="Times New Roman" w:hAnsi="Times New Roman" w:cs="Times New Roman"/>
        </w:rPr>
        <w:t xml:space="preserve"> Электронный ресурс: </w:t>
      </w:r>
      <w:hyperlink r:id="rId6" w:history="1">
        <w:r w:rsidRPr="002E021F">
          <w:rPr>
            <w:rStyle w:val="af"/>
            <w:rFonts w:ascii="Times New Roman" w:hAnsi="Times New Roman" w:cs="Times New Roman"/>
            <w:lang w:val="en-US"/>
          </w:rPr>
          <w:t>https</w:t>
        </w:r>
        <w:r w:rsidRPr="002E021F">
          <w:rPr>
            <w:rStyle w:val="af"/>
            <w:rFonts w:ascii="Times New Roman" w:hAnsi="Times New Roman" w:cs="Times New Roman"/>
          </w:rPr>
          <w:t>://</w:t>
        </w:r>
        <w:r w:rsidRPr="002E021F">
          <w:rPr>
            <w:rStyle w:val="af"/>
            <w:rFonts w:ascii="Times New Roman" w:hAnsi="Times New Roman" w:cs="Times New Roman"/>
            <w:lang w:val="en-US"/>
          </w:rPr>
          <w:t>romir</w:t>
        </w:r>
        <w:r w:rsidRPr="002E021F">
          <w:rPr>
            <w:rStyle w:val="af"/>
            <w:rFonts w:ascii="Times New Roman" w:hAnsi="Times New Roman" w:cs="Times New Roman"/>
          </w:rPr>
          <w:t>.</w:t>
        </w:r>
        <w:r w:rsidRPr="002E021F">
          <w:rPr>
            <w:rStyle w:val="af"/>
            <w:rFonts w:ascii="Times New Roman" w:hAnsi="Times New Roman" w:cs="Times New Roman"/>
            <w:lang w:val="en-US"/>
          </w:rPr>
          <w:t>ru</w:t>
        </w:r>
        <w:r w:rsidRPr="002E021F">
          <w:rPr>
            <w:rStyle w:val="af"/>
            <w:rFonts w:ascii="Times New Roman" w:hAnsi="Times New Roman" w:cs="Times New Roman"/>
          </w:rPr>
          <w:t>/</w:t>
        </w:r>
        <w:r w:rsidRPr="002E021F">
          <w:rPr>
            <w:rStyle w:val="af"/>
            <w:rFonts w:ascii="Times New Roman" w:hAnsi="Times New Roman" w:cs="Times New Roman"/>
            <w:lang w:val="en-US"/>
          </w:rPr>
          <w:t>studies</w:t>
        </w:r>
        <w:r w:rsidRPr="002E021F">
          <w:rPr>
            <w:rStyle w:val="af"/>
            <w:rFonts w:ascii="Times New Roman" w:hAnsi="Times New Roman" w:cs="Times New Roman"/>
          </w:rPr>
          <w:t>/</w:t>
        </w:r>
        <w:r w:rsidRPr="002E021F">
          <w:rPr>
            <w:rStyle w:val="af"/>
            <w:rFonts w:ascii="Times New Roman" w:hAnsi="Times New Roman" w:cs="Times New Roman"/>
            <w:lang w:val="en-US"/>
          </w:rPr>
          <w:t>subsidii</w:t>
        </w:r>
        <w:r w:rsidRPr="002E021F">
          <w:rPr>
            <w:rStyle w:val="af"/>
            <w:rFonts w:ascii="Times New Roman" w:hAnsi="Times New Roman" w:cs="Times New Roman"/>
          </w:rPr>
          <w:t>-</w:t>
        </w:r>
        <w:r w:rsidRPr="002E021F">
          <w:rPr>
            <w:rStyle w:val="af"/>
            <w:rFonts w:ascii="Times New Roman" w:hAnsi="Times New Roman" w:cs="Times New Roman"/>
            <w:lang w:val="en-US"/>
          </w:rPr>
          <w:t>ot</w:t>
        </w:r>
        <w:r w:rsidRPr="002E021F">
          <w:rPr>
            <w:rStyle w:val="af"/>
            <w:rFonts w:ascii="Times New Roman" w:hAnsi="Times New Roman" w:cs="Times New Roman"/>
          </w:rPr>
          <w:t>-</w:t>
        </w:r>
        <w:r w:rsidRPr="002E021F">
          <w:rPr>
            <w:rStyle w:val="af"/>
            <w:rFonts w:ascii="Times New Roman" w:hAnsi="Times New Roman" w:cs="Times New Roman"/>
            <w:lang w:val="en-US"/>
          </w:rPr>
          <w:t>gosudarstva</w:t>
        </w:r>
        <w:r w:rsidRPr="002E021F">
          <w:rPr>
            <w:rStyle w:val="af"/>
            <w:rFonts w:ascii="Times New Roman" w:hAnsi="Times New Roman" w:cs="Times New Roman"/>
          </w:rPr>
          <w:t>-</w:t>
        </w:r>
        <w:r w:rsidRPr="002E021F">
          <w:rPr>
            <w:rStyle w:val="af"/>
            <w:rFonts w:ascii="Times New Roman" w:hAnsi="Times New Roman" w:cs="Times New Roman"/>
            <w:lang w:val="en-US"/>
          </w:rPr>
          <w:t>rossiyane</w:t>
        </w:r>
        <w:r w:rsidRPr="002E021F">
          <w:rPr>
            <w:rStyle w:val="af"/>
            <w:rFonts w:ascii="Times New Roman" w:hAnsi="Times New Roman" w:cs="Times New Roman"/>
          </w:rPr>
          <w:t>-</w:t>
        </w:r>
        <w:r w:rsidRPr="002E021F">
          <w:rPr>
            <w:rStyle w:val="af"/>
            <w:rFonts w:ascii="Times New Roman" w:hAnsi="Times New Roman" w:cs="Times New Roman"/>
            <w:lang w:val="en-US"/>
          </w:rPr>
          <w:t>potratili</w:t>
        </w:r>
        <w:r w:rsidRPr="002E021F">
          <w:rPr>
            <w:rStyle w:val="af"/>
            <w:rFonts w:ascii="Times New Roman" w:hAnsi="Times New Roman" w:cs="Times New Roman"/>
          </w:rPr>
          <w:t>-</w:t>
        </w:r>
        <w:r w:rsidRPr="002E021F">
          <w:rPr>
            <w:rStyle w:val="af"/>
            <w:rFonts w:ascii="Times New Roman" w:hAnsi="Times New Roman" w:cs="Times New Roman"/>
            <w:lang w:val="en-US"/>
          </w:rPr>
          <w:t>na</w:t>
        </w:r>
        <w:r w:rsidRPr="002E021F">
          <w:rPr>
            <w:rStyle w:val="af"/>
            <w:rFonts w:ascii="Times New Roman" w:hAnsi="Times New Roman" w:cs="Times New Roman"/>
          </w:rPr>
          <w:t>-</w:t>
        </w:r>
        <w:r w:rsidRPr="002E021F">
          <w:rPr>
            <w:rStyle w:val="af"/>
            <w:rFonts w:ascii="Times New Roman" w:hAnsi="Times New Roman" w:cs="Times New Roman"/>
            <w:lang w:val="en-US"/>
          </w:rPr>
          <w:t>podarki</w:t>
        </w:r>
        <w:r w:rsidRPr="002E021F">
          <w:rPr>
            <w:rStyle w:val="af"/>
            <w:rFonts w:ascii="Times New Roman" w:hAnsi="Times New Roman" w:cs="Times New Roman"/>
          </w:rPr>
          <w:t>-</w:t>
        </w:r>
        <w:r w:rsidRPr="002E021F">
          <w:rPr>
            <w:rStyle w:val="af"/>
            <w:rFonts w:ascii="Times New Roman" w:hAnsi="Times New Roman" w:cs="Times New Roman"/>
            <w:lang w:val="en-US"/>
          </w:rPr>
          <w:t>detyam</w:t>
        </w:r>
      </w:hyperlink>
      <w:r w:rsidRPr="002E021F">
        <w:rPr>
          <w:rFonts w:ascii="Times New Roman" w:hAnsi="Times New Roman" w:cs="Times New Roman"/>
        </w:rPr>
        <w:t xml:space="preserve"> </w:t>
      </w:r>
    </w:p>
  </w:footnote>
  <w:footnote w:id="39">
    <w:p w14:paraId="461C9F5F" w14:textId="77777777" w:rsidR="00FC0A22" w:rsidRPr="002E021F" w:rsidRDefault="00FC0A22" w:rsidP="007C32A8">
      <w:pPr>
        <w:pStyle w:val="ab"/>
        <w:rPr>
          <w:rFonts w:ascii="Times New Roman" w:hAnsi="Times New Roman" w:cs="Times New Roman"/>
        </w:rPr>
      </w:pPr>
      <w:r w:rsidRPr="002E021F">
        <w:rPr>
          <w:rStyle w:val="ad"/>
          <w:rFonts w:ascii="Times New Roman" w:hAnsi="Times New Roman" w:cs="Times New Roman"/>
        </w:rPr>
        <w:footnoteRef/>
      </w:r>
      <w:r w:rsidRPr="002E021F">
        <w:rPr>
          <w:rFonts w:ascii="Times New Roman" w:hAnsi="Times New Roman" w:cs="Times New Roman"/>
        </w:rPr>
        <w:t xml:space="preserve"> Электронный ресурс: </w:t>
      </w:r>
      <w:hyperlink r:id="rId7" w:history="1">
        <w:r w:rsidRPr="002E021F">
          <w:rPr>
            <w:rStyle w:val="af"/>
            <w:rFonts w:ascii="Times New Roman" w:hAnsi="Times New Roman" w:cs="Times New Roman"/>
            <w:lang w:val="en-US"/>
          </w:rPr>
          <w:t>https</w:t>
        </w:r>
        <w:r w:rsidRPr="002E021F">
          <w:rPr>
            <w:rStyle w:val="af"/>
            <w:rFonts w:ascii="Times New Roman" w:hAnsi="Times New Roman" w:cs="Times New Roman"/>
          </w:rPr>
          <w:t>://</w:t>
        </w:r>
        <w:r w:rsidRPr="002E021F">
          <w:rPr>
            <w:rStyle w:val="af"/>
            <w:rFonts w:ascii="Times New Roman" w:hAnsi="Times New Roman" w:cs="Times New Roman"/>
            <w:lang w:val="en-US"/>
          </w:rPr>
          <w:t>www</w:t>
        </w:r>
        <w:r w:rsidRPr="002E021F">
          <w:rPr>
            <w:rStyle w:val="af"/>
            <w:rFonts w:ascii="Times New Roman" w:hAnsi="Times New Roman" w:cs="Times New Roman"/>
          </w:rPr>
          <w:t>.</w:t>
        </w:r>
        <w:r w:rsidRPr="002E021F">
          <w:rPr>
            <w:rStyle w:val="af"/>
            <w:rFonts w:ascii="Times New Roman" w:hAnsi="Times New Roman" w:cs="Times New Roman"/>
            <w:lang w:val="en-US"/>
          </w:rPr>
          <w:t>rbc</w:t>
        </w:r>
        <w:r w:rsidRPr="002E021F">
          <w:rPr>
            <w:rStyle w:val="af"/>
            <w:rFonts w:ascii="Times New Roman" w:hAnsi="Times New Roman" w:cs="Times New Roman"/>
          </w:rPr>
          <w:t>.</w:t>
        </w:r>
        <w:r w:rsidRPr="002E021F">
          <w:rPr>
            <w:rStyle w:val="af"/>
            <w:rFonts w:ascii="Times New Roman" w:hAnsi="Times New Roman" w:cs="Times New Roman"/>
            <w:lang w:val="en-US"/>
          </w:rPr>
          <w:t>ru</w:t>
        </w:r>
        <w:r w:rsidRPr="002E021F">
          <w:rPr>
            <w:rStyle w:val="af"/>
            <w:rFonts w:ascii="Times New Roman" w:hAnsi="Times New Roman" w:cs="Times New Roman"/>
          </w:rPr>
          <w:t>/</w:t>
        </w:r>
        <w:r w:rsidRPr="002E021F">
          <w:rPr>
            <w:rStyle w:val="af"/>
            <w:rFonts w:ascii="Times New Roman" w:hAnsi="Times New Roman" w:cs="Times New Roman"/>
            <w:lang w:val="en-US"/>
          </w:rPr>
          <w:t>finances</w:t>
        </w:r>
        <w:r w:rsidRPr="002E021F">
          <w:rPr>
            <w:rStyle w:val="af"/>
            <w:rFonts w:ascii="Times New Roman" w:hAnsi="Times New Roman" w:cs="Times New Roman"/>
          </w:rPr>
          <w:t>/30/07/2020/5</w:t>
        </w:r>
        <w:r w:rsidRPr="002E021F">
          <w:rPr>
            <w:rStyle w:val="af"/>
            <w:rFonts w:ascii="Times New Roman" w:hAnsi="Times New Roman" w:cs="Times New Roman"/>
            <w:lang w:val="en-US"/>
          </w:rPr>
          <w:t>f</w:t>
        </w:r>
        <w:r w:rsidRPr="002E021F">
          <w:rPr>
            <w:rStyle w:val="af"/>
            <w:rFonts w:ascii="Times New Roman" w:hAnsi="Times New Roman" w:cs="Times New Roman"/>
          </w:rPr>
          <w:t>1</w:t>
        </w:r>
        <w:r w:rsidRPr="002E021F">
          <w:rPr>
            <w:rStyle w:val="af"/>
            <w:rFonts w:ascii="Times New Roman" w:hAnsi="Times New Roman" w:cs="Times New Roman"/>
            <w:lang w:val="en-US"/>
          </w:rPr>
          <w:t>d</w:t>
        </w:r>
        <w:r w:rsidRPr="002E021F">
          <w:rPr>
            <w:rStyle w:val="af"/>
            <w:rFonts w:ascii="Times New Roman" w:hAnsi="Times New Roman" w:cs="Times New Roman"/>
          </w:rPr>
          <w:t>61749</w:t>
        </w:r>
        <w:r w:rsidRPr="002E021F">
          <w:rPr>
            <w:rStyle w:val="af"/>
            <w:rFonts w:ascii="Times New Roman" w:hAnsi="Times New Roman" w:cs="Times New Roman"/>
            <w:lang w:val="en-US"/>
          </w:rPr>
          <w:t>a</w:t>
        </w:r>
        <w:r w:rsidRPr="002E021F">
          <w:rPr>
            <w:rStyle w:val="af"/>
            <w:rFonts w:ascii="Times New Roman" w:hAnsi="Times New Roman" w:cs="Times New Roman"/>
          </w:rPr>
          <w:t>79473</w:t>
        </w:r>
        <w:r w:rsidRPr="002E021F">
          <w:rPr>
            <w:rStyle w:val="af"/>
            <w:rFonts w:ascii="Times New Roman" w:hAnsi="Times New Roman" w:cs="Times New Roman"/>
            <w:lang w:val="en-US"/>
          </w:rPr>
          <w:t>d</w:t>
        </w:r>
        <w:r w:rsidRPr="002E021F">
          <w:rPr>
            <w:rStyle w:val="af"/>
            <w:rFonts w:ascii="Times New Roman" w:hAnsi="Times New Roman" w:cs="Times New Roman"/>
          </w:rPr>
          <w:t>03326</w:t>
        </w:r>
        <w:r w:rsidRPr="002E021F">
          <w:rPr>
            <w:rStyle w:val="af"/>
            <w:rFonts w:ascii="Times New Roman" w:hAnsi="Times New Roman" w:cs="Times New Roman"/>
            <w:lang w:val="en-US"/>
          </w:rPr>
          <w:t>e</w:t>
        </w:r>
        <w:r w:rsidRPr="002E021F">
          <w:rPr>
            <w:rStyle w:val="af"/>
            <w:rFonts w:ascii="Times New Roman" w:hAnsi="Times New Roman" w:cs="Times New Roman"/>
          </w:rPr>
          <w:t>88</w:t>
        </w:r>
      </w:hyperlink>
      <w:r w:rsidRPr="002E021F">
        <w:rPr>
          <w:rFonts w:ascii="Times New Roman" w:hAnsi="Times New Roman" w:cs="Times New Roman"/>
        </w:rPr>
        <w:t xml:space="preserve"> </w:t>
      </w:r>
    </w:p>
  </w:footnote>
  <w:footnote w:id="40">
    <w:p w14:paraId="531AC771" w14:textId="77777777" w:rsidR="00FC0A22" w:rsidRPr="002E021F" w:rsidRDefault="00FC0A22" w:rsidP="007C32A8">
      <w:pPr>
        <w:pStyle w:val="ab"/>
        <w:rPr>
          <w:rFonts w:ascii="Times New Roman" w:hAnsi="Times New Roman" w:cs="Times New Roman"/>
        </w:rPr>
      </w:pPr>
      <w:r w:rsidRPr="002E021F">
        <w:rPr>
          <w:rStyle w:val="ad"/>
          <w:rFonts w:ascii="Times New Roman" w:hAnsi="Times New Roman" w:cs="Times New Roman"/>
        </w:rPr>
        <w:footnoteRef/>
      </w:r>
      <w:r w:rsidRPr="002E021F">
        <w:rPr>
          <w:rFonts w:ascii="Times New Roman" w:hAnsi="Times New Roman" w:cs="Times New Roman"/>
        </w:rPr>
        <w:t xml:space="preserve"> Конституция Российской Федерации, ст.67.1 п.4</w:t>
      </w:r>
    </w:p>
  </w:footnote>
  <w:footnote w:id="41">
    <w:p w14:paraId="45622247" w14:textId="77777777" w:rsidR="00FC0A22" w:rsidRPr="00274943" w:rsidRDefault="00FC0A22" w:rsidP="007C32A8">
      <w:pPr>
        <w:pStyle w:val="ab"/>
        <w:rPr>
          <w:rFonts w:ascii="Times New Roman" w:hAnsi="Times New Roman" w:cs="Times New Roman"/>
        </w:rPr>
      </w:pPr>
      <w:r w:rsidRPr="00274943">
        <w:rPr>
          <w:rStyle w:val="ad"/>
          <w:rFonts w:ascii="Times New Roman" w:hAnsi="Times New Roman" w:cs="Times New Roman"/>
        </w:rPr>
        <w:footnoteRef/>
      </w:r>
      <w:r>
        <w:rPr>
          <w:rFonts w:ascii="Times New Roman" w:hAnsi="Times New Roman" w:cs="Times New Roman"/>
        </w:rPr>
        <w:t xml:space="preserve"> Электронный ресурс:</w:t>
      </w:r>
      <w:r w:rsidRPr="00274943">
        <w:rPr>
          <w:rFonts w:ascii="Times New Roman" w:hAnsi="Times New Roman" w:cs="Times New Roman"/>
        </w:rPr>
        <w:t xml:space="preserve"> </w:t>
      </w:r>
      <w:hyperlink r:id="rId8" w:history="1">
        <w:r w:rsidRPr="00274943">
          <w:rPr>
            <w:rStyle w:val="af"/>
            <w:rFonts w:ascii="Times New Roman" w:hAnsi="Times New Roman" w:cs="Times New Roman"/>
          </w:rPr>
          <w:t>http://www.kremlin.ru/acts/bank/45726</w:t>
        </w:r>
      </w:hyperlink>
    </w:p>
  </w:footnote>
  <w:footnote w:id="42">
    <w:p w14:paraId="6BF284F2" w14:textId="77777777" w:rsidR="00FC0A22" w:rsidRPr="006E3DC0" w:rsidRDefault="00FC0A22" w:rsidP="00A63E81">
      <w:pPr>
        <w:pStyle w:val="ab"/>
        <w:rPr>
          <w:rFonts w:ascii="Times New Roman" w:hAnsi="Times New Roman" w:cs="Times New Roman"/>
        </w:rPr>
      </w:pPr>
      <w:r w:rsidRPr="006E3DC0">
        <w:rPr>
          <w:rStyle w:val="ad"/>
          <w:rFonts w:ascii="Times New Roman" w:hAnsi="Times New Roman" w:cs="Times New Roman"/>
        </w:rPr>
        <w:footnoteRef/>
      </w:r>
      <w:r w:rsidRPr="006E3DC0">
        <w:rPr>
          <w:rFonts w:ascii="Times New Roman" w:hAnsi="Times New Roman" w:cs="Times New Roman"/>
        </w:rPr>
        <w:t xml:space="preserve"> Для учета межрегиональной дифференциации цен использован показатель стоимости фиксированного набора товаров и услуг (ФНТУ). Стоимость ФНТУ в Чукотском автономном округе в 2019 г. превышала средний по РФ уровень в 1,74 раза, минимальное значение ФНТУ в Саратовской области – 82% от среднероссийского.</w:t>
      </w:r>
    </w:p>
  </w:footnote>
  <w:footnote w:id="43">
    <w:p w14:paraId="51E3363E" w14:textId="77777777" w:rsidR="00FC0A22" w:rsidRPr="00DA437E" w:rsidRDefault="00FC0A22" w:rsidP="00A63E81">
      <w:pPr>
        <w:pStyle w:val="ab"/>
        <w:rPr>
          <w:lang w:val="en-US"/>
        </w:rPr>
      </w:pPr>
      <w:r>
        <w:rPr>
          <w:rStyle w:val="ad"/>
        </w:rPr>
        <w:footnoteRef/>
      </w:r>
      <w:r w:rsidRPr="00DA437E">
        <w:rPr>
          <w:lang w:val="en-US"/>
        </w:rPr>
        <w:t xml:space="preserve"> </w:t>
      </w:r>
      <w:r>
        <w:t>Рассчитано</w:t>
      </w:r>
      <w:r w:rsidRPr="006F4E68">
        <w:rPr>
          <w:lang w:val="en-US"/>
        </w:rPr>
        <w:t xml:space="preserve"> </w:t>
      </w:r>
      <w:r>
        <w:t>по</w:t>
      </w:r>
      <w:r w:rsidRPr="006F4E68">
        <w:rPr>
          <w:lang w:val="en-US"/>
        </w:rPr>
        <w:t xml:space="preserve">: </w:t>
      </w:r>
      <w:r>
        <w:t>База</w:t>
      </w:r>
      <w:r w:rsidRPr="00DA437E">
        <w:rPr>
          <w:lang w:val="en-US"/>
        </w:rPr>
        <w:t xml:space="preserve"> </w:t>
      </w:r>
      <w:r>
        <w:t>данных</w:t>
      </w:r>
      <w:r w:rsidRPr="00DA437E">
        <w:rPr>
          <w:lang w:val="en-US"/>
        </w:rPr>
        <w:t xml:space="preserve"> </w:t>
      </w:r>
      <w:r>
        <w:t>Евростата</w:t>
      </w:r>
      <w:r w:rsidRPr="00DA437E">
        <w:rPr>
          <w:lang w:val="en-US"/>
        </w:rPr>
        <w:t xml:space="preserve"> (Gross domestic product (GDP) at current market prices by NUTS 2 regions; </w:t>
      </w:r>
      <w:r w:rsidR="006E5EF3">
        <w:fldChar w:fldCharType="begin"/>
      </w:r>
      <w:r w:rsidR="006E5EF3" w:rsidRPr="00A365AF">
        <w:rPr>
          <w:lang w:val="en-US"/>
        </w:rPr>
        <w:instrText xml:space="preserve"> HYPERLINK "https://ec.europa.eu/eurostat/web/products-datasets/-/nama_10r_2gdp%20/" </w:instrText>
      </w:r>
      <w:r w:rsidR="006E5EF3">
        <w:fldChar w:fldCharType="separate"/>
      </w:r>
      <w:r w:rsidRPr="00F6567A">
        <w:rPr>
          <w:rStyle w:val="af"/>
          <w:lang w:val="en-US"/>
        </w:rPr>
        <w:t>https://ec.europa.eu/eurostat/web/products-datasets/-/nama_10r_2gdp /</w:t>
      </w:r>
      <w:r w:rsidR="006E5EF3">
        <w:rPr>
          <w:rStyle w:val="af"/>
          <w:lang w:val="en-US"/>
        </w:rPr>
        <w:fldChar w:fldCharType="end"/>
      </w:r>
      <w:r>
        <w:rPr>
          <w:lang w:val="en-US"/>
        </w:rPr>
        <w:t xml:space="preserve"> </w:t>
      </w:r>
      <w:r w:rsidRPr="00DA437E">
        <w:rPr>
          <w:lang w:val="en-US"/>
        </w:rPr>
        <w:t>Population on 1 January by age, sex and NUTS 2 region</w:t>
      </w:r>
      <w:r>
        <w:rPr>
          <w:lang w:val="en-US"/>
        </w:rPr>
        <w:t xml:space="preserve">; </w:t>
      </w:r>
      <w:hyperlink r:id="rId9" w:history="1">
        <w:r w:rsidRPr="00F6567A">
          <w:rPr>
            <w:rStyle w:val="af"/>
            <w:lang w:val="en-US"/>
          </w:rPr>
          <w:t>https://ec.europa.eu/eurostat/web/products-datasets/-/DEMO_R_D2JAN</w:t>
        </w:r>
      </w:hyperlink>
      <w:r>
        <w:rPr>
          <w:lang w:val="en-US"/>
        </w:rPr>
        <w:t xml:space="preserve"> )</w:t>
      </w:r>
      <w:r w:rsidRPr="00DA437E">
        <w:rPr>
          <w:lang w:val="en-US"/>
        </w:rPr>
        <w:tab/>
      </w:r>
      <w:r w:rsidRPr="00DA437E">
        <w:rPr>
          <w:lang w:val="en-US"/>
        </w:rPr>
        <w:tab/>
      </w:r>
    </w:p>
  </w:footnote>
  <w:footnote w:id="44">
    <w:p w14:paraId="14A4CBF5" w14:textId="77777777" w:rsidR="00FC0A22" w:rsidRPr="00BF32E7" w:rsidRDefault="00FC0A22" w:rsidP="00A63E81">
      <w:pPr>
        <w:pStyle w:val="ab"/>
        <w:rPr>
          <w:lang w:val="en-US"/>
        </w:rPr>
      </w:pPr>
      <w:r>
        <w:rPr>
          <w:rStyle w:val="ad"/>
        </w:rPr>
        <w:footnoteRef/>
      </w:r>
      <w:r w:rsidRPr="00BF32E7">
        <w:rPr>
          <w:lang w:val="en-US"/>
        </w:rPr>
        <w:t xml:space="preserve"> China St</w:t>
      </w:r>
      <w:r>
        <w:rPr>
          <w:lang w:val="en-US"/>
        </w:rPr>
        <w:t>a</w:t>
      </w:r>
      <w:r w:rsidRPr="00BF32E7">
        <w:rPr>
          <w:lang w:val="en-US"/>
        </w:rPr>
        <w:t>tistical Year Book/ 2019</w:t>
      </w:r>
      <w:r>
        <w:rPr>
          <w:lang w:val="en-US"/>
        </w:rPr>
        <w:t xml:space="preserve">. </w:t>
      </w:r>
      <w:r w:rsidRPr="00BF32E7">
        <w:rPr>
          <w:lang w:val="en-US"/>
        </w:rPr>
        <w:t>http://www.stats.gov.cn/tjsj/ndsj/2019/indexeh.htm</w:t>
      </w:r>
    </w:p>
    <w:p w14:paraId="11312AE8" w14:textId="77777777" w:rsidR="00FC0A22" w:rsidRPr="00BF32E7" w:rsidRDefault="00FC0A22" w:rsidP="00A63E81">
      <w:pPr>
        <w:pStyle w:val="ab"/>
        <w:rPr>
          <w:lang w:val="en-US"/>
        </w:rPr>
      </w:pPr>
    </w:p>
  </w:footnote>
  <w:footnote w:id="45">
    <w:p w14:paraId="2647C2E6" w14:textId="77777777" w:rsidR="00FC0A22" w:rsidRDefault="00FC0A22" w:rsidP="00A63E81">
      <w:pPr>
        <w:pStyle w:val="ab"/>
      </w:pPr>
      <w:r>
        <w:rPr>
          <w:rStyle w:val="ad"/>
        </w:rPr>
        <w:footnoteRef/>
      </w:r>
      <w:r>
        <w:t xml:space="preserve"> В экономической теории нет обоснования неизбежности процессов конвергенции (либо дивергенции) уровней экономического развития стран или регионов. Долгосрочные тренды к конвергенции среднедушевых показателей ВВП, обоснованные в рамках неоклассических моделей, достигаются только при очень жестких условиях относительно возможных параметров развития стран и регионов, принятых в моделях. Более</w:t>
      </w:r>
      <w:r w:rsidRPr="00965870">
        <w:rPr>
          <w:lang w:val="en-US"/>
        </w:rPr>
        <w:t xml:space="preserve"> </w:t>
      </w:r>
      <w:r>
        <w:t>подробно</w:t>
      </w:r>
      <w:r w:rsidRPr="00965870">
        <w:rPr>
          <w:lang w:val="en-US"/>
        </w:rPr>
        <w:t xml:space="preserve"> </w:t>
      </w:r>
      <w:r>
        <w:t>см</w:t>
      </w:r>
      <w:r w:rsidRPr="00965870">
        <w:rPr>
          <w:lang w:val="en-US"/>
        </w:rPr>
        <w:t xml:space="preserve">. Barro, R. J., Sala-i-Martin, X. Economic Growth. </w:t>
      </w:r>
      <w:r w:rsidRPr="00254631">
        <w:t>MIT Press, 2004. -654 p.</w:t>
      </w:r>
      <w:r>
        <w:t xml:space="preserve"> Глущенко К.П. Методы анализа межрегионального неравенства по доходам // Регион: экономика и социология. 2010. № 1. С. 54-87. Глущенко К.П. Исследования неравенства по доходам между российскими регионами // Регион: экономика и социология. 2010.  № 4. С. 88-119.</w:t>
      </w:r>
    </w:p>
  </w:footnote>
  <w:footnote w:id="46">
    <w:p w14:paraId="2A0CC95F" w14:textId="77777777" w:rsidR="00FC0A22" w:rsidRPr="006E3DC0" w:rsidRDefault="00FC0A22" w:rsidP="00A63E81">
      <w:pPr>
        <w:pStyle w:val="ab"/>
        <w:rPr>
          <w:rFonts w:ascii="Times New Roman" w:hAnsi="Times New Roman" w:cs="Times New Roman"/>
        </w:rPr>
      </w:pPr>
      <w:r w:rsidRPr="006E3DC0">
        <w:rPr>
          <w:rStyle w:val="ad"/>
          <w:rFonts w:ascii="Times New Roman" w:hAnsi="Times New Roman" w:cs="Times New Roman"/>
        </w:rPr>
        <w:footnoteRef/>
      </w:r>
      <w:r w:rsidRPr="006E3DC0">
        <w:rPr>
          <w:rFonts w:ascii="Times New Roman" w:hAnsi="Times New Roman" w:cs="Times New Roman"/>
        </w:rPr>
        <w:t xml:space="preserve"> Статистика среднедушевых денежных доходов населения по субъектам Российской Федерации, исключая автономные округа, которые входили в состав отдельных субъектов РФ, публикуется с 1995 года, по автономным округам – с 1997 года. Межрегиональные соотношения номинальных показателей денежных доходов населения находятся под сильным влиянием различий в уровнях цен в разных регионах. Наиболее приемлемым для учета межрегиональной дифференциации цен, является показатель стоимости фиксированного набора товаров и услуг (ФНТУ), который публикуется с 2000 года. В период до 2000 года для учета межрегиональной дифференциации цен использовался показатель прожиточного минимума.</w:t>
      </w:r>
    </w:p>
  </w:footnote>
  <w:footnote w:id="47">
    <w:p w14:paraId="2A20A901" w14:textId="343F3BA7" w:rsidR="00FC0A22" w:rsidRDefault="00FC0A22" w:rsidP="00A9057E">
      <w:pPr>
        <w:pStyle w:val="ab"/>
        <w:jc w:val="both"/>
      </w:pPr>
      <w:r>
        <w:rPr>
          <w:rStyle w:val="ad"/>
        </w:rPr>
        <w:footnoteRef/>
      </w:r>
      <w:r>
        <w:t xml:space="preserve"> До 2011 г. официальной статистикой в рамках текущего учета фиксировались только те акты переезда, которые сопровождались сменой места жительства. Т.е. данные отражали масштабы долгосрочной внутристрановой миграции, при этом вне поля зрения статистки оставалась значительная часть миграций, не связанная со сменой прописки. В 2011 г. изменилась методология учета внутренней миграции населения: статистикой стали также учитываться акты переезда, связанные с регистрацией по месту пребывания на срок 9 месяцев и более, в связи с чем с 2011 г. произошел резкий скачек числа учитываемых внутристрановых перемещений.</w:t>
      </w:r>
    </w:p>
  </w:footnote>
  <w:footnote w:id="48">
    <w:p w14:paraId="4B8B519B" w14:textId="100B3357" w:rsidR="00FC0A22" w:rsidRPr="001D2BD3" w:rsidRDefault="00FC0A22" w:rsidP="00226009">
      <w:r>
        <w:rPr>
          <w:rStyle w:val="ad"/>
        </w:rPr>
        <w:footnoteRef/>
      </w:r>
      <w:r>
        <w:t xml:space="preserve"> </w:t>
      </w:r>
      <w:r w:rsidRPr="0015778E">
        <w:rPr>
          <w:rFonts w:ascii="Times New Roman" w:hAnsi="Times New Roman" w:cs="Times New Roman"/>
        </w:rPr>
        <w:t xml:space="preserve">Подробную методику расчета объема региональных структурных безработных см. [Коровкин А.Г. Динамика занятости и рынка труда.  Вопросы макроэкономического анализа и прогнозирования. М.: МАКС-Пресс, 2001, </w:t>
      </w:r>
      <w:r w:rsidRPr="0015778E">
        <w:rPr>
          <w:rFonts w:ascii="Times New Roman" w:hAnsi="Times New Roman" w:cs="Times New Roman"/>
          <w:lang w:val="en-US"/>
        </w:rPr>
        <w:t>c</w:t>
      </w:r>
      <w:r w:rsidRPr="0015778E">
        <w:rPr>
          <w:rFonts w:ascii="Times New Roman" w:hAnsi="Times New Roman" w:cs="Times New Roman"/>
        </w:rPr>
        <w:t>. 43]</w:t>
      </w:r>
    </w:p>
  </w:footnote>
  <w:footnote w:id="49">
    <w:p w14:paraId="420046A2" w14:textId="77777777" w:rsidR="00FC0A22" w:rsidRPr="009F6DA3" w:rsidRDefault="00FC0A22" w:rsidP="00A9057E">
      <w:pPr>
        <w:pStyle w:val="ab"/>
        <w:jc w:val="both"/>
        <w:rPr>
          <w:rFonts w:ascii="Times New Roman" w:hAnsi="Times New Roman" w:cs="Times New Roman"/>
        </w:rPr>
      </w:pPr>
      <w:r w:rsidRPr="009F6DA3">
        <w:rPr>
          <w:rStyle w:val="ad"/>
          <w:rFonts w:ascii="Times New Roman" w:hAnsi="Times New Roman" w:cs="Times New Roman"/>
        </w:rPr>
        <w:footnoteRef/>
      </w:r>
      <w:r w:rsidRPr="009F6DA3">
        <w:rPr>
          <w:rFonts w:ascii="Times New Roman" w:hAnsi="Times New Roman" w:cs="Times New Roman"/>
        </w:rPr>
        <w:t xml:space="preserve"> В расчетах принималась гипотеза о том, при отсутствии трудовых потоков мигрант в своем регионе имел бы статус безработного, а занимаемое им рабочее место в другом регионе являлось бы вакантным.</w:t>
      </w:r>
    </w:p>
  </w:footnote>
  <w:footnote w:id="50">
    <w:p w14:paraId="1FA28254" w14:textId="77777777" w:rsidR="00FC0A22" w:rsidRPr="0015778E" w:rsidRDefault="00FC0A22" w:rsidP="00A9057E">
      <w:pPr>
        <w:pStyle w:val="ab"/>
        <w:jc w:val="both"/>
        <w:rPr>
          <w:rFonts w:ascii="Times New Roman" w:hAnsi="Times New Roman" w:cs="Times New Roman"/>
        </w:rPr>
      </w:pPr>
      <w:r w:rsidRPr="0015778E">
        <w:rPr>
          <w:rStyle w:val="ad"/>
          <w:rFonts w:ascii="Times New Roman" w:hAnsi="Times New Roman" w:cs="Times New Roman"/>
        </w:rPr>
        <w:footnoteRef/>
      </w:r>
      <w:r w:rsidRPr="0015778E">
        <w:rPr>
          <w:rFonts w:ascii="Times New Roman" w:hAnsi="Times New Roman" w:cs="Times New Roman"/>
        </w:rPr>
        <w:t xml:space="preserve"> Отчет о НИР «Анализ надежности базовых индикаторов оценки уровня социально-экономического развития субъектов Российской Федерации (разработка методики анализа)», коллектив авторов, отв. исполн. А.В.Суворов, 2005 г.</w:t>
      </w:r>
    </w:p>
  </w:footnote>
  <w:footnote w:id="51">
    <w:p w14:paraId="386EA350" w14:textId="085AC880" w:rsidR="00FC0A22" w:rsidRPr="0015778E" w:rsidRDefault="00FC0A22" w:rsidP="00A9057E">
      <w:pPr>
        <w:pStyle w:val="ab"/>
        <w:rPr>
          <w:rFonts w:ascii="Times New Roman" w:hAnsi="Times New Roman" w:cs="Times New Roman"/>
        </w:rPr>
      </w:pPr>
      <w:r w:rsidRPr="0015778E">
        <w:rPr>
          <w:rStyle w:val="ad"/>
          <w:rFonts w:ascii="Times New Roman" w:hAnsi="Times New Roman" w:cs="Times New Roman"/>
        </w:rPr>
        <w:footnoteRef/>
      </w:r>
      <w:r w:rsidRPr="0015778E">
        <w:rPr>
          <w:rFonts w:ascii="Times New Roman" w:hAnsi="Times New Roman" w:cs="Times New Roman"/>
        </w:rPr>
        <w:t xml:space="preserve"> Люди. Деньги. Данные. Ц</w:t>
      </w:r>
      <w:r w:rsidR="0015778E" w:rsidRPr="0015778E">
        <w:rPr>
          <w:rFonts w:ascii="Times New Roman" w:hAnsi="Times New Roman" w:cs="Times New Roman"/>
        </w:rPr>
        <w:t>СР</w:t>
      </w:r>
      <w:r w:rsidRPr="0015778E">
        <w:rPr>
          <w:rFonts w:ascii="Times New Roman" w:hAnsi="Times New Roman" w:cs="Times New Roman"/>
        </w:rPr>
        <w:t xml:space="preserve">. 2020 г. </w:t>
      </w:r>
    </w:p>
  </w:footnote>
  <w:footnote w:id="52">
    <w:p w14:paraId="3EDC89CD" w14:textId="77777777" w:rsidR="00FC0A22" w:rsidRPr="00A968FC" w:rsidRDefault="00FC0A22" w:rsidP="007C32A8">
      <w:pPr>
        <w:pStyle w:val="ab"/>
        <w:rPr>
          <w:rFonts w:ascii="Times New Roman" w:hAnsi="Times New Roman" w:cs="Times New Roman"/>
        </w:rPr>
      </w:pPr>
      <w:r w:rsidRPr="00A968FC">
        <w:rPr>
          <w:rStyle w:val="ad"/>
          <w:rFonts w:ascii="Times New Roman" w:hAnsi="Times New Roman" w:cs="Times New Roman"/>
        </w:rPr>
        <w:footnoteRef/>
      </w:r>
      <w:r w:rsidRPr="00A968FC">
        <w:rPr>
          <w:rFonts w:ascii="Times New Roman" w:hAnsi="Times New Roman" w:cs="Times New Roman"/>
        </w:rPr>
        <w:t xml:space="preserve"> Под нормой накопления понимается отношение валового накопления основного капитала к ВВП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A24"/>
    <w:multiLevelType w:val="hybridMultilevel"/>
    <w:tmpl w:val="7C24E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DD2557"/>
    <w:multiLevelType w:val="hybridMultilevel"/>
    <w:tmpl w:val="7AB4B31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15:restartNumberingAfterBreak="0">
    <w:nsid w:val="0A04730E"/>
    <w:multiLevelType w:val="hybridMultilevel"/>
    <w:tmpl w:val="F244B7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2B34E5"/>
    <w:multiLevelType w:val="multilevel"/>
    <w:tmpl w:val="05CA6B9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15:restartNumberingAfterBreak="0">
    <w:nsid w:val="0C9E3EAE"/>
    <w:multiLevelType w:val="hybridMultilevel"/>
    <w:tmpl w:val="6CE64D22"/>
    <w:lvl w:ilvl="0" w:tplc="0419000F">
      <w:start w:val="9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551011"/>
    <w:multiLevelType w:val="hybridMultilevel"/>
    <w:tmpl w:val="FF20F56C"/>
    <w:lvl w:ilvl="0" w:tplc="E558003A">
      <w:start w:val="107"/>
      <w:numFmt w:val="decimal"/>
      <w:lvlText w:val="%1."/>
      <w:lvlJc w:val="left"/>
      <w:pPr>
        <w:ind w:left="860" w:hanging="5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153087"/>
    <w:multiLevelType w:val="hybridMultilevel"/>
    <w:tmpl w:val="7960C2FE"/>
    <w:lvl w:ilvl="0" w:tplc="12F46DD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A83A2A"/>
    <w:multiLevelType w:val="hybridMultilevel"/>
    <w:tmpl w:val="D9425B34"/>
    <w:lvl w:ilvl="0" w:tplc="0419000F">
      <w:start w:val="4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F55607"/>
    <w:multiLevelType w:val="hybridMultilevel"/>
    <w:tmpl w:val="2EC6CE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65A0C15"/>
    <w:multiLevelType w:val="hybridMultilevel"/>
    <w:tmpl w:val="F5CA0C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3E209C"/>
    <w:multiLevelType w:val="hybridMultilevel"/>
    <w:tmpl w:val="5DA03D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3100A5"/>
    <w:multiLevelType w:val="hybridMultilevel"/>
    <w:tmpl w:val="CB74AC02"/>
    <w:lvl w:ilvl="0" w:tplc="072C6A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16177D2"/>
    <w:multiLevelType w:val="hybridMultilevel"/>
    <w:tmpl w:val="2F8A2A36"/>
    <w:lvl w:ilvl="0" w:tplc="C0B68132">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28D6917"/>
    <w:multiLevelType w:val="hybridMultilevel"/>
    <w:tmpl w:val="9B488E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2E047FF"/>
    <w:multiLevelType w:val="multilevel"/>
    <w:tmpl w:val="7F707E7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5" w15:restartNumberingAfterBreak="0">
    <w:nsid w:val="470C5576"/>
    <w:multiLevelType w:val="hybridMultilevel"/>
    <w:tmpl w:val="82A0D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F37D0C"/>
    <w:multiLevelType w:val="hybridMultilevel"/>
    <w:tmpl w:val="FD1A9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4BEC50DB"/>
    <w:multiLevelType w:val="hybridMultilevel"/>
    <w:tmpl w:val="95CC1674"/>
    <w:lvl w:ilvl="0" w:tplc="C0B68132">
      <w:start w:val="1"/>
      <w:numFmt w:val="decimal"/>
      <w:lvlText w:val="%1)"/>
      <w:lvlJc w:val="left"/>
      <w:pPr>
        <w:ind w:left="927" w:hanging="360"/>
      </w:pPr>
      <w:rPr>
        <w:rFonts w:hint="default"/>
      </w:rPr>
    </w:lvl>
    <w:lvl w:ilvl="1" w:tplc="E63AC79C">
      <w:start w:val="1"/>
      <w:numFmt w:val="decimal"/>
      <w:lvlText w:val="%2."/>
      <w:lvlJc w:val="left"/>
      <w:pPr>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4E0968F4"/>
    <w:multiLevelType w:val="hybridMultilevel"/>
    <w:tmpl w:val="6D5A6FC4"/>
    <w:lvl w:ilvl="0" w:tplc="04190003">
      <w:start w:val="1"/>
      <w:numFmt w:val="bullet"/>
      <w:lvlText w:val="o"/>
      <w:lvlJc w:val="left"/>
      <w:pPr>
        <w:ind w:left="720" w:hanging="360"/>
      </w:pPr>
      <w:rPr>
        <w:rFonts w:ascii="Courier New" w:hAnsi="Courier New"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FAB1F5E"/>
    <w:multiLevelType w:val="hybridMultilevel"/>
    <w:tmpl w:val="43AEC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FE01BB3"/>
    <w:multiLevelType w:val="hybridMultilevel"/>
    <w:tmpl w:val="C7686E84"/>
    <w:lvl w:ilvl="0" w:tplc="1A660EC0">
      <w:start w:val="1"/>
      <w:numFmt w:val="bullet"/>
      <w:lvlText w:val="•"/>
      <w:lvlJc w:val="left"/>
      <w:pPr>
        <w:tabs>
          <w:tab w:val="num" w:pos="720"/>
        </w:tabs>
        <w:ind w:left="720" w:hanging="360"/>
      </w:pPr>
      <w:rPr>
        <w:rFonts w:ascii="Arial" w:hAnsi="Arial" w:hint="default"/>
      </w:rPr>
    </w:lvl>
    <w:lvl w:ilvl="1" w:tplc="5F7ECE58" w:tentative="1">
      <w:start w:val="1"/>
      <w:numFmt w:val="bullet"/>
      <w:lvlText w:val="•"/>
      <w:lvlJc w:val="left"/>
      <w:pPr>
        <w:tabs>
          <w:tab w:val="num" w:pos="1440"/>
        </w:tabs>
        <w:ind w:left="1440" w:hanging="360"/>
      </w:pPr>
      <w:rPr>
        <w:rFonts w:ascii="Arial" w:hAnsi="Arial" w:hint="default"/>
      </w:rPr>
    </w:lvl>
    <w:lvl w:ilvl="2" w:tplc="B02E45CA" w:tentative="1">
      <w:start w:val="1"/>
      <w:numFmt w:val="bullet"/>
      <w:lvlText w:val="•"/>
      <w:lvlJc w:val="left"/>
      <w:pPr>
        <w:tabs>
          <w:tab w:val="num" w:pos="2160"/>
        </w:tabs>
        <w:ind w:left="2160" w:hanging="360"/>
      </w:pPr>
      <w:rPr>
        <w:rFonts w:ascii="Arial" w:hAnsi="Arial" w:hint="default"/>
      </w:rPr>
    </w:lvl>
    <w:lvl w:ilvl="3" w:tplc="A3044ED8" w:tentative="1">
      <w:start w:val="1"/>
      <w:numFmt w:val="bullet"/>
      <w:lvlText w:val="•"/>
      <w:lvlJc w:val="left"/>
      <w:pPr>
        <w:tabs>
          <w:tab w:val="num" w:pos="2880"/>
        </w:tabs>
        <w:ind w:left="2880" w:hanging="360"/>
      </w:pPr>
      <w:rPr>
        <w:rFonts w:ascii="Arial" w:hAnsi="Arial" w:hint="default"/>
      </w:rPr>
    </w:lvl>
    <w:lvl w:ilvl="4" w:tplc="2182F0DC" w:tentative="1">
      <w:start w:val="1"/>
      <w:numFmt w:val="bullet"/>
      <w:lvlText w:val="•"/>
      <w:lvlJc w:val="left"/>
      <w:pPr>
        <w:tabs>
          <w:tab w:val="num" w:pos="3600"/>
        </w:tabs>
        <w:ind w:left="3600" w:hanging="360"/>
      </w:pPr>
      <w:rPr>
        <w:rFonts w:ascii="Arial" w:hAnsi="Arial" w:hint="default"/>
      </w:rPr>
    </w:lvl>
    <w:lvl w:ilvl="5" w:tplc="B78E3D8C" w:tentative="1">
      <w:start w:val="1"/>
      <w:numFmt w:val="bullet"/>
      <w:lvlText w:val="•"/>
      <w:lvlJc w:val="left"/>
      <w:pPr>
        <w:tabs>
          <w:tab w:val="num" w:pos="4320"/>
        </w:tabs>
        <w:ind w:left="4320" w:hanging="360"/>
      </w:pPr>
      <w:rPr>
        <w:rFonts w:ascii="Arial" w:hAnsi="Arial" w:hint="default"/>
      </w:rPr>
    </w:lvl>
    <w:lvl w:ilvl="6" w:tplc="B2C6E77C" w:tentative="1">
      <w:start w:val="1"/>
      <w:numFmt w:val="bullet"/>
      <w:lvlText w:val="•"/>
      <w:lvlJc w:val="left"/>
      <w:pPr>
        <w:tabs>
          <w:tab w:val="num" w:pos="5040"/>
        </w:tabs>
        <w:ind w:left="5040" w:hanging="360"/>
      </w:pPr>
      <w:rPr>
        <w:rFonts w:ascii="Arial" w:hAnsi="Arial" w:hint="default"/>
      </w:rPr>
    </w:lvl>
    <w:lvl w:ilvl="7" w:tplc="2E444F66" w:tentative="1">
      <w:start w:val="1"/>
      <w:numFmt w:val="bullet"/>
      <w:lvlText w:val="•"/>
      <w:lvlJc w:val="left"/>
      <w:pPr>
        <w:tabs>
          <w:tab w:val="num" w:pos="5760"/>
        </w:tabs>
        <w:ind w:left="5760" w:hanging="360"/>
      </w:pPr>
      <w:rPr>
        <w:rFonts w:ascii="Arial" w:hAnsi="Arial" w:hint="default"/>
      </w:rPr>
    </w:lvl>
    <w:lvl w:ilvl="8" w:tplc="8C0AE1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172396F"/>
    <w:multiLevelType w:val="hybridMultilevel"/>
    <w:tmpl w:val="1C04156C"/>
    <w:lvl w:ilvl="0" w:tplc="EEDE43D8">
      <w:start w:val="111"/>
      <w:numFmt w:val="decimal"/>
      <w:lvlText w:val="%1."/>
      <w:lvlJc w:val="left"/>
      <w:pPr>
        <w:ind w:left="860" w:hanging="5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8F7F7C"/>
    <w:multiLevelType w:val="hybridMultilevel"/>
    <w:tmpl w:val="2EDC2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52CD3C10"/>
    <w:multiLevelType w:val="hybridMultilevel"/>
    <w:tmpl w:val="EA1A822A"/>
    <w:lvl w:ilvl="0" w:tplc="61E034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450543F"/>
    <w:multiLevelType w:val="hybridMultilevel"/>
    <w:tmpl w:val="7A686C68"/>
    <w:lvl w:ilvl="0" w:tplc="072C6A7E">
      <w:start w:val="1"/>
      <w:numFmt w:val="decimal"/>
      <w:lvlText w:val="%1)"/>
      <w:lvlJc w:val="left"/>
      <w:pPr>
        <w:ind w:left="927"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78B3980"/>
    <w:multiLevelType w:val="multilevel"/>
    <w:tmpl w:val="4A62F0C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6" w15:restartNumberingAfterBreak="0">
    <w:nsid w:val="5A983A84"/>
    <w:multiLevelType w:val="hybridMultilevel"/>
    <w:tmpl w:val="30F6A3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F9D443F"/>
    <w:multiLevelType w:val="hybridMultilevel"/>
    <w:tmpl w:val="B47A3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124298"/>
    <w:multiLevelType w:val="multilevel"/>
    <w:tmpl w:val="0868BB4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9" w15:restartNumberingAfterBreak="0">
    <w:nsid w:val="64C64D27"/>
    <w:multiLevelType w:val="hybridMultilevel"/>
    <w:tmpl w:val="1DAA5374"/>
    <w:lvl w:ilvl="0" w:tplc="0419000F">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016466F"/>
    <w:multiLevelType w:val="hybridMultilevel"/>
    <w:tmpl w:val="0A4EA58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BE60A71"/>
    <w:multiLevelType w:val="singleLevel"/>
    <w:tmpl w:val="C0E225C2"/>
    <w:lvl w:ilvl="0">
      <w:start w:val="1"/>
      <w:numFmt w:val="decimal"/>
      <w:lvlText w:val="%1."/>
      <w:legacy w:legacy="1" w:legacySpace="0" w:legacyIndent="510"/>
      <w:lvlJc w:val="left"/>
      <w:pPr>
        <w:ind w:left="510" w:hanging="510"/>
      </w:pPr>
      <w:rPr>
        <w:rFonts w:cs="Times New Roman"/>
      </w:rPr>
    </w:lvl>
  </w:abstractNum>
  <w:abstractNum w:abstractNumId="32" w15:restartNumberingAfterBreak="0">
    <w:nsid w:val="7FD9077B"/>
    <w:multiLevelType w:val="multilevel"/>
    <w:tmpl w:val="582C07F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num w:numId="1">
    <w:abstractNumId w:val="8"/>
  </w:num>
  <w:num w:numId="2">
    <w:abstractNumId w:val="26"/>
  </w:num>
  <w:num w:numId="3">
    <w:abstractNumId w:val="27"/>
  </w:num>
  <w:num w:numId="4">
    <w:abstractNumId w:val="19"/>
  </w:num>
  <w:num w:numId="5">
    <w:abstractNumId w:val="2"/>
  </w:num>
  <w:num w:numId="6">
    <w:abstractNumId w:val="7"/>
  </w:num>
  <w:num w:numId="7">
    <w:abstractNumId w:val="29"/>
  </w:num>
  <w:num w:numId="8">
    <w:abstractNumId w:val="4"/>
  </w:num>
  <w:num w:numId="9">
    <w:abstractNumId w:val="5"/>
  </w:num>
  <w:num w:numId="10">
    <w:abstractNumId w:val="21"/>
  </w:num>
  <w:num w:numId="11">
    <w:abstractNumId w:val="23"/>
  </w:num>
  <w:num w:numId="12">
    <w:abstractNumId w:val="6"/>
  </w:num>
  <w:num w:numId="13">
    <w:abstractNumId w:val="15"/>
  </w:num>
  <w:num w:numId="14">
    <w:abstractNumId w:val="13"/>
  </w:num>
  <w:num w:numId="15">
    <w:abstractNumId w:val="22"/>
  </w:num>
  <w:num w:numId="16">
    <w:abstractNumId w:val="17"/>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1"/>
  </w:num>
  <w:num w:numId="20">
    <w:abstractNumId w:val="31"/>
    <w:lvlOverride w:ilvl="0">
      <w:lvl w:ilvl="0">
        <w:start w:val="2"/>
        <w:numFmt w:val="decimal"/>
        <w:lvlText w:val="%1."/>
        <w:legacy w:legacy="1" w:legacySpace="0" w:legacyIndent="510"/>
        <w:lvlJc w:val="left"/>
        <w:pPr>
          <w:ind w:left="936" w:hanging="510"/>
        </w:pPr>
        <w:rPr>
          <w:rFonts w:cs="Times New Roman"/>
          <w:color w:val="auto"/>
        </w:rPr>
      </w:lvl>
    </w:lvlOverride>
  </w:num>
  <w:num w:numId="21">
    <w:abstractNumId w:val="16"/>
  </w:num>
  <w:num w:numId="22">
    <w:abstractNumId w:val="18"/>
  </w:num>
  <w:num w:numId="23">
    <w:abstractNumId w:val="10"/>
  </w:num>
  <w:num w:numId="24">
    <w:abstractNumId w:val="20"/>
  </w:num>
  <w:num w:numId="25">
    <w:abstractNumId w:val="11"/>
  </w:num>
  <w:num w:numId="26">
    <w:abstractNumId w:val="24"/>
  </w:num>
  <w:num w:numId="27">
    <w:abstractNumId w:val="0"/>
  </w:num>
  <w:num w:numId="28">
    <w:abstractNumId w:val="9"/>
  </w:num>
  <w:num w:numId="29">
    <w:abstractNumId w:val="32"/>
  </w:num>
  <w:num w:numId="30">
    <w:abstractNumId w:val="14"/>
  </w:num>
  <w:num w:numId="31">
    <w:abstractNumId w:val="28"/>
  </w:num>
  <w:num w:numId="32">
    <w:abstractNumId w:val="12"/>
  </w:num>
  <w:num w:numId="33">
    <w:abstractNumId w:val="25"/>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E2C"/>
    <w:rsid w:val="00003054"/>
    <w:rsid w:val="00003D4A"/>
    <w:rsid w:val="00005FB6"/>
    <w:rsid w:val="0000682D"/>
    <w:rsid w:val="00011354"/>
    <w:rsid w:val="000115DA"/>
    <w:rsid w:val="00011EA6"/>
    <w:rsid w:val="00013439"/>
    <w:rsid w:val="000135FA"/>
    <w:rsid w:val="00015753"/>
    <w:rsid w:val="00016218"/>
    <w:rsid w:val="00016346"/>
    <w:rsid w:val="000212E4"/>
    <w:rsid w:val="00021300"/>
    <w:rsid w:val="0002194F"/>
    <w:rsid w:val="00023752"/>
    <w:rsid w:val="00024029"/>
    <w:rsid w:val="000249BD"/>
    <w:rsid w:val="00024CB3"/>
    <w:rsid w:val="00024DD3"/>
    <w:rsid w:val="00024F12"/>
    <w:rsid w:val="0002615A"/>
    <w:rsid w:val="00026351"/>
    <w:rsid w:val="00026617"/>
    <w:rsid w:val="00027044"/>
    <w:rsid w:val="000300D1"/>
    <w:rsid w:val="00031888"/>
    <w:rsid w:val="00031D28"/>
    <w:rsid w:val="00031E1A"/>
    <w:rsid w:val="00032127"/>
    <w:rsid w:val="00032C5D"/>
    <w:rsid w:val="000342EA"/>
    <w:rsid w:val="000367B8"/>
    <w:rsid w:val="00040042"/>
    <w:rsid w:val="00040CC7"/>
    <w:rsid w:val="0004274D"/>
    <w:rsid w:val="00043148"/>
    <w:rsid w:val="0004465E"/>
    <w:rsid w:val="00047736"/>
    <w:rsid w:val="000478B7"/>
    <w:rsid w:val="00047984"/>
    <w:rsid w:val="00051FFC"/>
    <w:rsid w:val="00054127"/>
    <w:rsid w:val="00055A88"/>
    <w:rsid w:val="0006092F"/>
    <w:rsid w:val="00061070"/>
    <w:rsid w:val="00062B76"/>
    <w:rsid w:val="00064A92"/>
    <w:rsid w:val="000662E8"/>
    <w:rsid w:val="00067ACA"/>
    <w:rsid w:val="00070352"/>
    <w:rsid w:val="00070BA3"/>
    <w:rsid w:val="00070BED"/>
    <w:rsid w:val="000717F0"/>
    <w:rsid w:val="00071C52"/>
    <w:rsid w:val="00073350"/>
    <w:rsid w:val="000743F0"/>
    <w:rsid w:val="00074A82"/>
    <w:rsid w:val="00075DB9"/>
    <w:rsid w:val="00076995"/>
    <w:rsid w:val="00077585"/>
    <w:rsid w:val="00080367"/>
    <w:rsid w:val="00080492"/>
    <w:rsid w:val="000817BA"/>
    <w:rsid w:val="000820DD"/>
    <w:rsid w:val="0008322C"/>
    <w:rsid w:val="000902EF"/>
    <w:rsid w:val="00090618"/>
    <w:rsid w:val="00092140"/>
    <w:rsid w:val="00094B0D"/>
    <w:rsid w:val="00094E97"/>
    <w:rsid w:val="000A0495"/>
    <w:rsid w:val="000A0B39"/>
    <w:rsid w:val="000A1C82"/>
    <w:rsid w:val="000A3248"/>
    <w:rsid w:val="000A4520"/>
    <w:rsid w:val="000A5134"/>
    <w:rsid w:val="000A6929"/>
    <w:rsid w:val="000A7043"/>
    <w:rsid w:val="000A79F8"/>
    <w:rsid w:val="000A7F50"/>
    <w:rsid w:val="000B0921"/>
    <w:rsid w:val="000B2487"/>
    <w:rsid w:val="000B2638"/>
    <w:rsid w:val="000B5808"/>
    <w:rsid w:val="000B5DEC"/>
    <w:rsid w:val="000B65AA"/>
    <w:rsid w:val="000B6BFE"/>
    <w:rsid w:val="000B6C99"/>
    <w:rsid w:val="000B725C"/>
    <w:rsid w:val="000B7ED6"/>
    <w:rsid w:val="000C01DF"/>
    <w:rsid w:val="000C0668"/>
    <w:rsid w:val="000C1838"/>
    <w:rsid w:val="000C27FF"/>
    <w:rsid w:val="000C3EE7"/>
    <w:rsid w:val="000C4336"/>
    <w:rsid w:val="000C4ACE"/>
    <w:rsid w:val="000C5A7E"/>
    <w:rsid w:val="000C5BA9"/>
    <w:rsid w:val="000C650F"/>
    <w:rsid w:val="000C7744"/>
    <w:rsid w:val="000D16E5"/>
    <w:rsid w:val="000D24EA"/>
    <w:rsid w:val="000D25D2"/>
    <w:rsid w:val="000D4820"/>
    <w:rsid w:val="000D492A"/>
    <w:rsid w:val="000D57B9"/>
    <w:rsid w:val="000D57C0"/>
    <w:rsid w:val="000D5DB5"/>
    <w:rsid w:val="000D61F4"/>
    <w:rsid w:val="000D79C3"/>
    <w:rsid w:val="000E1253"/>
    <w:rsid w:val="000E1412"/>
    <w:rsid w:val="000E5B08"/>
    <w:rsid w:val="000E6451"/>
    <w:rsid w:val="000E7D5A"/>
    <w:rsid w:val="000F06C9"/>
    <w:rsid w:val="000F2A6A"/>
    <w:rsid w:val="000F590C"/>
    <w:rsid w:val="000F6E36"/>
    <w:rsid w:val="000F7662"/>
    <w:rsid w:val="001010CB"/>
    <w:rsid w:val="001014AA"/>
    <w:rsid w:val="00101971"/>
    <w:rsid w:val="00105363"/>
    <w:rsid w:val="00107446"/>
    <w:rsid w:val="00111BA8"/>
    <w:rsid w:val="00112F14"/>
    <w:rsid w:val="0011398A"/>
    <w:rsid w:val="00114533"/>
    <w:rsid w:val="00114923"/>
    <w:rsid w:val="00114E90"/>
    <w:rsid w:val="00115BD3"/>
    <w:rsid w:val="00116E99"/>
    <w:rsid w:val="0012147A"/>
    <w:rsid w:val="00122748"/>
    <w:rsid w:val="00122E7E"/>
    <w:rsid w:val="0012341F"/>
    <w:rsid w:val="00123CD3"/>
    <w:rsid w:val="001271F8"/>
    <w:rsid w:val="001277FF"/>
    <w:rsid w:val="00130612"/>
    <w:rsid w:val="00130994"/>
    <w:rsid w:val="001309FC"/>
    <w:rsid w:val="00131F8C"/>
    <w:rsid w:val="001332CF"/>
    <w:rsid w:val="00134318"/>
    <w:rsid w:val="00135452"/>
    <w:rsid w:val="00135E7B"/>
    <w:rsid w:val="00140D90"/>
    <w:rsid w:val="001420BC"/>
    <w:rsid w:val="001428A1"/>
    <w:rsid w:val="00142FDB"/>
    <w:rsid w:val="00143336"/>
    <w:rsid w:val="00143B37"/>
    <w:rsid w:val="00143F6A"/>
    <w:rsid w:val="00143FD4"/>
    <w:rsid w:val="0014550C"/>
    <w:rsid w:val="00146081"/>
    <w:rsid w:val="00146309"/>
    <w:rsid w:val="00147E16"/>
    <w:rsid w:val="00150FD2"/>
    <w:rsid w:val="00151690"/>
    <w:rsid w:val="00151EE3"/>
    <w:rsid w:val="00156F37"/>
    <w:rsid w:val="0015778E"/>
    <w:rsid w:val="00160AB6"/>
    <w:rsid w:val="00160BF8"/>
    <w:rsid w:val="00161A71"/>
    <w:rsid w:val="00163574"/>
    <w:rsid w:val="00164247"/>
    <w:rsid w:val="00166C6F"/>
    <w:rsid w:val="00171022"/>
    <w:rsid w:val="001715B5"/>
    <w:rsid w:val="001717A3"/>
    <w:rsid w:val="00173A9D"/>
    <w:rsid w:val="00174017"/>
    <w:rsid w:val="00174274"/>
    <w:rsid w:val="0017449C"/>
    <w:rsid w:val="00176604"/>
    <w:rsid w:val="00176921"/>
    <w:rsid w:val="00176AB1"/>
    <w:rsid w:val="00176D87"/>
    <w:rsid w:val="0017778A"/>
    <w:rsid w:val="00177D53"/>
    <w:rsid w:val="00180B72"/>
    <w:rsid w:val="00180B88"/>
    <w:rsid w:val="00180E5B"/>
    <w:rsid w:val="001817A1"/>
    <w:rsid w:val="00181B64"/>
    <w:rsid w:val="00182E15"/>
    <w:rsid w:val="00186861"/>
    <w:rsid w:val="00193554"/>
    <w:rsid w:val="00193AE5"/>
    <w:rsid w:val="0019751C"/>
    <w:rsid w:val="001A00B3"/>
    <w:rsid w:val="001A04FA"/>
    <w:rsid w:val="001A10AA"/>
    <w:rsid w:val="001A12D7"/>
    <w:rsid w:val="001A3FEB"/>
    <w:rsid w:val="001A4CE1"/>
    <w:rsid w:val="001A5DE2"/>
    <w:rsid w:val="001A6FBC"/>
    <w:rsid w:val="001A71D4"/>
    <w:rsid w:val="001A7359"/>
    <w:rsid w:val="001B01DB"/>
    <w:rsid w:val="001B1324"/>
    <w:rsid w:val="001B28C4"/>
    <w:rsid w:val="001B4682"/>
    <w:rsid w:val="001B76B8"/>
    <w:rsid w:val="001C0405"/>
    <w:rsid w:val="001C0483"/>
    <w:rsid w:val="001C0543"/>
    <w:rsid w:val="001C0581"/>
    <w:rsid w:val="001C0E30"/>
    <w:rsid w:val="001C151D"/>
    <w:rsid w:val="001C4432"/>
    <w:rsid w:val="001C62DF"/>
    <w:rsid w:val="001C6BF3"/>
    <w:rsid w:val="001C7CA7"/>
    <w:rsid w:val="001D1648"/>
    <w:rsid w:val="001D1DB2"/>
    <w:rsid w:val="001D2737"/>
    <w:rsid w:val="001D2BD3"/>
    <w:rsid w:val="001D521C"/>
    <w:rsid w:val="001D5E92"/>
    <w:rsid w:val="001D6145"/>
    <w:rsid w:val="001E123F"/>
    <w:rsid w:val="001E195F"/>
    <w:rsid w:val="001E375B"/>
    <w:rsid w:val="001E5411"/>
    <w:rsid w:val="001E5D37"/>
    <w:rsid w:val="001E7D55"/>
    <w:rsid w:val="001F5007"/>
    <w:rsid w:val="0020161F"/>
    <w:rsid w:val="00201993"/>
    <w:rsid w:val="0020336C"/>
    <w:rsid w:val="002035E9"/>
    <w:rsid w:val="0020494E"/>
    <w:rsid w:val="002057BF"/>
    <w:rsid w:val="00205FBB"/>
    <w:rsid w:val="00206976"/>
    <w:rsid w:val="00207671"/>
    <w:rsid w:val="00207BB7"/>
    <w:rsid w:val="00210051"/>
    <w:rsid w:val="002119D0"/>
    <w:rsid w:val="00214776"/>
    <w:rsid w:val="0021620D"/>
    <w:rsid w:val="0021670D"/>
    <w:rsid w:val="002167FC"/>
    <w:rsid w:val="00222960"/>
    <w:rsid w:val="00222F8B"/>
    <w:rsid w:val="00223412"/>
    <w:rsid w:val="00225834"/>
    <w:rsid w:val="00226009"/>
    <w:rsid w:val="0022724F"/>
    <w:rsid w:val="002278BD"/>
    <w:rsid w:val="0023075E"/>
    <w:rsid w:val="002309F0"/>
    <w:rsid w:val="00230A65"/>
    <w:rsid w:val="002344F0"/>
    <w:rsid w:val="0023531C"/>
    <w:rsid w:val="002353DB"/>
    <w:rsid w:val="0023661F"/>
    <w:rsid w:val="00237929"/>
    <w:rsid w:val="00237B07"/>
    <w:rsid w:val="00240854"/>
    <w:rsid w:val="00240FF1"/>
    <w:rsid w:val="00244E76"/>
    <w:rsid w:val="00244E87"/>
    <w:rsid w:val="00244F0A"/>
    <w:rsid w:val="0024620E"/>
    <w:rsid w:val="00246466"/>
    <w:rsid w:val="002467A7"/>
    <w:rsid w:val="0024685F"/>
    <w:rsid w:val="0024702C"/>
    <w:rsid w:val="002509D5"/>
    <w:rsid w:val="0025126C"/>
    <w:rsid w:val="002524C5"/>
    <w:rsid w:val="002548C7"/>
    <w:rsid w:val="002558A7"/>
    <w:rsid w:val="002559CB"/>
    <w:rsid w:val="00255D15"/>
    <w:rsid w:val="00256648"/>
    <w:rsid w:val="00256658"/>
    <w:rsid w:val="00256D9D"/>
    <w:rsid w:val="00256F3D"/>
    <w:rsid w:val="0026061C"/>
    <w:rsid w:val="00260AAE"/>
    <w:rsid w:val="00260C11"/>
    <w:rsid w:val="00260F2E"/>
    <w:rsid w:val="002621D0"/>
    <w:rsid w:val="002636E3"/>
    <w:rsid w:val="00263DB3"/>
    <w:rsid w:val="002648EE"/>
    <w:rsid w:val="00264C30"/>
    <w:rsid w:val="002650BB"/>
    <w:rsid w:val="002662CE"/>
    <w:rsid w:val="0027261C"/>
    <w:rsid w:val="002739B1"/>
    <w:rsid w:val="00274943"/>
    <w:rsid w:val="00275244"/>
    <w:rsid w:val="002757D8"/>
    <w:rsid w:val="0028021A"/>
    <w:rsid w:val="002819E7"/>
    <w:rsid w:val="00282009"/>
    <w:rsid w:val="00282656"/>
    <w:rsid w:val="00282B7B"/>
    <w:rsid w:val="002834DF"/>
    <w:rsid w:val="002841BE"/>
    <w:rsid w:val="00285D12"/>
    <w:rsid w:val="002862EA"/>
    <w:rsid w:val="002863E2"/>
    <w:rsid w:val="002902BA"/>
    <w:rsid w:val="002916A9"/>
    <w:rsid w:val="0029385B"/>
    <w:rsid w:val="00293A58"/>
    <w:rsid w:val="0029401A"/>
    <w:rsid w:val="002949B8"/>
    <w:rsid w:val="00294F7F"/>
    <w:rsid w:val="00295911"/>
    <w:rsid w:val="00296CE1"/>
    <w:rsid w:val="002A11D7"/>
    <w:rsid w:val="002A229D"/>
    <w:rsid w:val="002A2440"/>
    <w:rsid w:val="002A3B81"/>
    <w:rsid w:val="002A4109"/>
    <w:rsid w:val="002A4880"/>
    <w:rsid w:val="002A4BC9"/>
    <w:rsid w:val="002A580F"/>
    <w:rsid w:val="002A6D3A"/>
    <w:rsid w:val="002A6F4E"/>
    <w:rsid w:val="002A6FA3"/>
    <w:rsid w:val="002A7A30"/>
    <w:rsid w:val="002B09EC"/>
    <w:rsid w:val="002B0BC9"/>
    <w:rsid w:val="002B1A46"/>
    <w:rsid w:val="002B4584"/>
    <w:rsid w:val="002B6C2E"/>
    <w:rsid w:val="002B72CC"/>
    <w:rsid w:val="002C08A9"/>
    <w:rsid w:val="002C0ABA"/>
    <w:rsid w:val="002C18C8"/>
    <w:rsid w:val="002C1F76"/>
    <w:rsid w:val="002C47EF"/>
    <w:rsid w:val="002C4F53"/>
    <w:rsid w:val="002C60DE"/>
    <w:rsid w:val="002C63BA"/>
    <w:rsid w:val="002C6415"/>
    <w:rsid w:val="002C6B7B"/>
    <w:rsid w:val="002D119D"/>
    <w:rsid w:val="002D217A"/>
    <w:rsid w:val="002D248B"/>
    <w:rsid w:val="002D2BCE"/>
    <w:rsid w:val="002D2D91"/>
    <w:rsid w:val="002D363E"/>
    <w:rsid w:val="002D4EF7"/>
    <w:rsid w:val="002D6F07"/>
    <w:rsid w:val="002D76ED"/>
    <w:rsid w:val="002E021F"/>
    <w:rsid w:val="002E060D"/>
    <w:rsid w:val="002E1496"/>
    <w:rsid w:val="002E5D6D"/>
    <w:rsid w:val="002F0D1E"/>
    <w:rsid w:val="002F35DD"/>
    <w:rsid w:val="002F37FD"/>
    <w:rsid w:val="002F40FC"/>
    <w:rsid w:val="002F69ED"/>
    <w:rsid w:val="002F6E2C"/>
    <w:rsid w:val="002F7179"/>
    <w:rsid w:val="002F7446"/>
    <w:rsid w:val="00300C9D"/>
    <w:rsid w:val="00307010"/>
    <w:rsid w:val="0030788F"/>
    <w:rsid w:val="003105A0"/>
    <w:rsid w:val="00310D63"/>
    <w:rsid w:val="00312504"/>
    <w:rsid w:val="0031293D"/>
    <w:rsid w:val="00314536"/>
    <w:rsid w:val="00315FF3"/>
    <w:rsid w:val="0032060F"/>
    <w:rsid w:val="00320B5A"/>
    <w:rsid w:val="003218A8"/>
    <w:rsid w:val="00322584"/>
    <w:rsid w:val="00322B2E"/>
    <w:rsid w:val="00322C44"/>
    <w:rsid w:val="0032457C"/>
    <w:rsid w:val="00325D80"/>
    <w:rsid w:val="00326E09"/>
    <w:rsid w:val="003330EF"/>
    <w:rsid w:val="003335D9"/>
    <w:rsid w:val="003370E2"/>
    <w:rsid w:val="00341142"/>
    <w:rsid w:val="003425E4"/>
    <w:rsid w:val="0034312C"/>
    <w:rsid w:val="003433E2"/>
    <w:rsid w:val="003437B7"/>
    <w:rsid w:val="00345073"/>
    <w:rsid w:val="003452AE"/>
    <w:rsid w:val="00345520"/>
    <w:rsid w:val="00345F84"/>
    <w:rsid w:val="00346E34"/>
    <w:rsid w:val="0035143D"/>
    <w:rsid w:val="00351632"/>
    <w:rsid w:val="00351D97"/>
    <w:rsid w:val="00354D06"/>
    <w:rsid w:val="00354FF8"/>
    <w:rsid w:val="0035785D"/>
    <w:rsid w:val="00363D4E"/>
    <w:rsid w:val="0036605D"/>
    <w:rsid w:val="00367671"/>
    <w:rsid w:val="0037070A"/>
    <w:rsid w:val="0037429D"/>
    <w:rsid w:val="00374D71"/>
    <w:rsid w:val="00375C71"/>
    <w:rsid w:val="00376E80"/>
    <w:rsid w:val="00380266"/>
    <w:rsid w:val="00381319"/>
    <w:rsid w:val="00381703"/>
    <w:rsid w:val="003826C2"/>
    <w:rsid w:val="00384EC1"/>
    <w:rsid w:val="00385146"/>
    <w:rsid w:val="00385C52"/>
    <w:rsid w:val="00386F74"/>
    <w:rsid w:val="00387349"/>
    <w:rsid w:val="00387886"/>
    <w:rsid w:val="00391384"/>
    <w:rsid w:val="00391A80"/>
    <w:rsid w:val="0039299A"/>
    <w:rsid w:val="00392A50"/>
    <w:rsid w:val="003933A1"/>
    <w:rsid w:val="00394448"/>
    <w:rsid w:val="00394FAA"/>
    <w:rsid w:val="003A4ADC"/>
    <w:rsid w:val="003A66FC"/>
    <w:rsid w:val="003A7577"/>
    <w:rsid w:val="003A7E0D"/>
    <w:rsid w:val="003B036C"/>
    <w:rsid w:val="003B33D4"/>
    <w:rsid w:val="003B3786"/>
    <w:rsid w:val="003B3D4C"/>
    <w:rsid w:val="003B64B8"/>
    <w:rsid w:val="003C0B73"/>
    <w:rsid w:val="003C3E4E"/>
    <w:rsid w:val="003C618A"/>
    <w:rsid w:val="003C6F26"/>
    <w:rsid w:val="003C71A6"/>
    <w:rsid w:val="003C7278"/>
    <w:rsid w:val="003D119D"/>
    <w:rsid w:val="003D2361"/>
    <w:rsid w:val="003D2A0B"/>
    <w:rsid w:val="003D2E51"/>
    <w:rsid w:val="003D38B0"/>
    <w:rsid w:val="003D3914"/>
    <w:rsid w:val="003D620D"/>
    <w:rsid w:val="003D79F8"/>
    <w:rsid w:val="003E0428"/>
    <w:rsid w:val="003E09F7"/>
    <w:rsid w:val="003E5858"/>
    <w:rsid w:val="003E781D"/>
    <w:rsid w:val="003F01DE"/>
    <w:rsid w:val="003F0ACB"/>
    <w:rsid w:val="003F2953"/>
    <w:rsid w:val="003F4C83"/>
    <w:rsid w:val="003F51C7"/>
    <w:rsid w:val="003F578E"/>
    <w:rsid w:val="003F6CB1"/>
    <w:rsid w:val="0040057C"/>
    <w:rsid w:val="004006FB"/>
    <w:rsid w:val="0040074F"/>
    <w:rsid w:val="00400CEF"/>
    <w:rsid w:val="00400E28"/>
    <w:rsid w:val="00402174"/>
    <w:rsid w:val="0040307F"/>
    <w:rsid w:val="00403167"/>
    <w:rsid w:val="0040447A"/>
    <w:rsid w:val="00406CD9"/>
    <w:rsid w:val="004121FA"/>
    <w:rsid w:val="0041378F"/>
    <w:rsid w:val="00414307"/>
    <w:rsid w:val="004147EE"/>
    <w:rsid w:val="00415DE5"/>
    <w:rsid w:val="004166DF"/>
    <w:rsid w:val="00421585"/>
    <w:rsid w:val="0042198D"/>
    <w:rsid w:val="0042203F"/>
    <w:rsid w:val="00422CF8"/>
    <w:rsid w:val="00423234"/>
    <w:rsid w:val="00423DE1"/>
    <w:rsid w:val="00424727"/>
    <w:rsid w:val="004250E7"/>
    <w:rsid w:val="00427C07"/>
    <w:rsid w:val="00431633"/>
    <w:rsid w:val="00431BE8"/>
    <w:rsid w:val="004326FC"/>
    <w:rsid w:val="0043374B"/>
    <w:rsid w:val="00433973"/>
    <w:rsid w:val="0043498D"/>
    <w:rsid w:val="00437C77"/>
    <w:rsid w:val="00444D73"/>
    <w:rsid w:val="004452A7"/>
    <w:rsid w:val="00447013"/>
    <w:rsid w:val="00450AAD"/>
    <w:rsid w:val="00450F1A"/>
    <w:rsid w:val="00451CC8"/>
    <w:rsid w:val="004525ED"/>
    <w:rsid w:val="00452819"/>
    <w:rsid w:val="0045411E"/>
    <w:rsid w:val="00455986"/>
    <w:rsid w:val="00456C64"/>
    <w:rsid w:val="004607C9"/>
    <w:rsid w:val="00461099"/>
    <w:rsid w:val="004641A3"/>
    <w:rsid w:val="00466662"/>
    <w:rsid w:val="004676C2"/>
    <w:rsid w:val="00470117"/>
    <w:rsid w:val="00470313"/>
    <w:rsid w:val="00470687"/>
    <w:rsid w:val="00471856"/>
    <w:rsid w:val="00471B0D"/>
    <w:rsid w:val="00471B8C"/>
    <w:rsid w:val="0047252B"/>
    <w:rsid w:val="0047491E"/>
    <w:rsid w:val="00475033"/>
    <w:rsid w:val="0047592A"/>
    <w:rsid w:val="00476341"/>
    <w:rsid w:val="00477AE7"/>
    <w:rsid w:val="00480743"/>
    <w:rsid w:val="00480D54"/>
    <w:rsid w:val="00481567"/>
    <w:rsid w:val="004823BE"/>
    <w:rsid w:val="00482455"/>
    <w:rsid w:val="004828F6"/>
    <w:rsid w:val="00483B5D"/>
    <w:rsid w:val="00485E34"/>
    <w:rsid w:val="00490761"/>
    <w:rsid w:val="004952A2"/>
    <w:rsid w:val="00496287"/>
    <w:rsid w:val="00496855"/>
    <w:rsid w:val="00496E9C"/>
    <w:rsid w:val="004A12FF"/>
    <w:rsid w:val="004A49B4"/>
    <w:rsid w:val="004A7367"/>
    <w:rsid w:val="004B2858"/>
    <w:rsid w:val="004B2D54"/>
    <w:rsid w:val="004B2EDB"/>
    <w:rsid w:val="004B379E"/>
    <w:rsid w:val="004B456A"/>
    <w:rsid w:val="004B4E67"/>
    <w:rsid w:val="004B5144"/>
    <w:rsid w:val="004B7156"/>
    <w:rsid w:val="004B7A80"/>
    <w:rsid w:val="004C0C82"/>
    <w:rsid w:val="004C1727"/>
    <w:rsid w:val="004C1808"/>
    <w:rsid w:val="004C22ED"/>
    <w:rsid w:val="004C4E69"/>
    <w:rsid w:val="004C53E0"/>
    <w:rsid w:val="004C793A"/>
    <w:rsid w:val="004D0D8D"/>
    <w:rsid w:val="004D2933"/>
    <w:rsid w:val="004D38A6"/>
    <w:rsid w:val="004D3A09"/>
    <w:rsid w:val="004D63B7"/>
    <w:rsid w:val="004D63E5"/>
    <w:rsid w:val="004E0FB5"/>
    <w:rsid w:val="004E3782"/>
    <w:rsid w:val="004E44E6"/>
    <w:rsid w:val="004E4F56"/>
    <w:rsid w:val="004E5E70"/>
    <w:rsid w:val="004E6F3E"/>
    <w:rsid w:val="004E798F"/>
    <w:rsid w:val="004F0419"/>
    <w:rsid w:val="004F084B"/>
    <w:rsid w:val="004F0B94"/>
    <w:rsid w:val="004F4807"/>
    <w:rsid w:val="004F72FB"/>
    <w:rsid w:val="00501A92"/>
    <w:rsid w:val="00501BFF"/>
    <w:rsid w:val="00501F1E"/>
    <w:rsid w:val="00502914"/>
    <w:rsid w:val="00502973"/>
    <w:rsid w:val="00502B2A"/>
    <w:rsid w:val="0050513F"/>
    <w:rsid w:val="00506662"/>
    <w:rsid w:val="0050704F"/>
    <w:rsid w:val="00510180"/>
    <w:rsid w:val="0051060C"/>
    <w:rsid w:val="00510B52"/>
    <w:rsid w:val="005125AE"/>
    <w:rsid w:val="00512E9C"/>
    <w:rsid w:val="00512F36"/>
    <w:rsid w:val="005132E3"/>
    <w:rsid w:val="00513957"/>
    <w:rsid w:val="0051406D"/>
    <w:rsid w:val="005165D9"/>
    <w:rsid w:val="00517847"/>
    <w:rsid w:val="005209E2"/>
    <w:rsid w:val="00521E17"/>
    <w:rsid w:val="00523AC4"/>
    <w:rsid w:val="00530708"/>
    <w:rsid w:val="00530D1D"/>
    <w:rsid w:val="00530EBA"/>
    <w:rsid w:val="00531263"/>
    <w:rsid w:val="005328EF"/>
    <w:rsid w:val="005329AE"/>
    <w:rsid w:val="00532EBC"/>
    <w:rsid w:val="00535B5F"/>
    <w:rsid w:val="00540388"/>
    <w:rsid w:val="005435E6"/>
    <w:rsid w:val="00543ECD"/>
    <w:rsid w:val="00544F5E"/>
    <w:rsid w:val="00545155"/>
    <w:rsid w:val="0054598C"/>
    <w:rsid w:val="00545A8E"/>
    <w:rsid w:val="00547A3B"/>
    <w:rsid w:val="00547F78"/>
    <w:rsid w:val="005520FF"/>
    <w:rsid w:val="00554E2C"/>
    <w:rsid w:val="00554E59"/>
    <w:rsid w:val="00555238"/>
    <w:rsid w:val="00555588"/>
    <w:rsid w:val="0055737B"/>
    <w:rsid w:val="00557854"/>
    <w:rsid w:val="00560244"/>
    <w:rsid w:val="005603AD"/>
    <w:rsid w:val="005612B1"/>
    <w:rsid w:val="00561BC9"/>
    <w:rsid w:val="00562671"/>
    <w:rsid w:val="00563235"/>
    <w:rsid w:val="00563FBF"/>
    <w:rsid w:val="005647BF"/>
    <w:rsid w:val="0057104F"/>
    <w:rsid w:val="0057108E"/>
    <w:rsid w:val="00571555"/>
    <w:rsid w:val="00574B60"/>
    <w:rsid w:val="00576D64"/>
    <w:rsid w:val="005778A0"/>
    <w:rsid w:val="0058079A"/>
    <w:rsid w:val="00580C16"/>
    <w:rsid w:val="00580CE3"/>
    <w:rsid w:val="0058139F"/>
    <w:rsid w:val="00583520"/>
    <w:rsid w:val="00583ACE"/>
    <w:rsid w:val="00583C94"/>
    <w:rsid w:val="00584E2A"/>
    <w:rsid w:val="00585F2A"/>
    <w:rsid w:val="005874BB"/>
    <w:rsid w:val="00591825"/>
    <w:rsid w:val="0059236E"/>
    <w:rsid w:val="00594353"/>
    <w:rsid w:val="00594487"/>
    <w:rsid w:val="005950E1"/>
    <w:rsid w:val="00596FFC"/>
    <w:rsid w:val="005A0598"/>
    <w:rsid w:val="005A616D"/>
    <w:rsid w:val="005A62EA"/>
    <w:rsid w:val="005A6BC7"/>
    <w:rsid w:val="005A76D6"/>
    <w:rsid w:val="005B4E1C"/>
    <w:rsid w:val="005B5585"/>
    <w:rsid w:val="005B5F25"/>
    <w:rsid w:val="005B7991"/>
    <w:rsid w:val="005B7D42"/>
    <w:rsid w:val="005B7D53"/>
    <w:rsid w:val="005C178B"/>
    <w:rsid w:val="005C1A65"/>
    <w:rsid w:val="005C1F09"/>
    <w:rsid w:val="005C2CF7"/>
    <w:rsid w:val="005C3DF9"/>
    <w:rsid w:val="005C4E83"/>
    <w:rsid w:val="005C6B98"/>
    <w:rsid w:val="005C6E8E"/>
    <w:rsid w:val="005D0103"/>
    <w:rsid w:val="005D23AE"/>
    <w:rsid w:val="005D3AF6"/>
    <w:rsid w:val="005D48B7"/>
    <w:rsid w:val="005D5F7C"/>
    <w:rsid w:val="005E0C58"/>
    <w:rsid w:val="005E17A3"/>
    <w:rsid w:val="005E291D"/>
    <w:rsid w:val="005E3948"/>
    <w:rsid w:val="005E40E6"/>
    <w:rsid w:val="005E5266"/>
    <w:rsid w:val="005E5327"/>
    <w:rsid w:val="005F0757"/>
    <w:rsid w:val="005F25C3"/>
    <w:rsid w:val="005F4E4C"/>
    <w:rsid w:val="005F5374"/>
    <w:rsid w:val="006010B1"/>
    <w:rsid w:val="00602087"/>
    <w:rsid w:val="0060216C"/>
    <w:rsid w:val="006031AD"/>
    <w:rsid w:val="006040D6"/>
    <w:rsid w:val="00604190"/>
    <w:rsid w:val="00604C89"/>
    <w:rsid w:val="006074E8"/>
    <w:rsid w:val="00610877"/>
    <w:rsid w:val="00611872"/>
    <w:rsid w:val="006127CB"/>
    <w:rsid w:val="006134EC"/>
    <w:rsid w:val="00613A1D"/>
    <w:rsid w:val="00617352"/>
    <w:rsid w:val="00617FB9"/>
    <w:rsid w:val="00620410"/>
    <w:rsid w:val="006207DC"/>
    <w:rsid w:val="00620889"/>
    <w:rsid w:val="00620BAC"/>
    <w:rsid w:val="006234DC"/>
    <w:rsid w:val="00625957"/>
    <w:rsid w:val="00626100"/>
    <w:rsid w:val="00627240"/>
    <w:rsid w:val="006273DC"/>
    <w:rsid w:val="00627870"/>
    <w:rsid w:val="0063112A"/>
    <w:rsid w:val="006312F5"/>
    <w:rsid w:val="006316B7"/>
    <w:rsid w:val="00631745"/>
    <w:rsid w:val="00631B22"/>
    <w:rsid w:val="00632D0E"/>
    <w:rsid w:val="00634F4C"/>
    <w:rsid w:val="00635D39"/>
    <w:rsid w:val="00636953"/>
    <w:rsid w:val="0064265F"/>
    <w:rsid w:val="00643EEF"/>
    <w:rsid w:val="00645226"/>
    <w:rsid w:val="00646007"/>
    <w:rsid w:val="00647FA4"/>
    <w:rsid w:val="00650B00"/>
    <w:rsid w:val="006521A1"/>
    <w:rsid w:val="00653365"/>
    <w:rsid w:val="0065467F"/>
    <w:rsid w:val="006550BA"/>
    <w:rsid w:val="006553DF"/>
    <w:rsid w:val="00656B76"/>
    <w:rsid w:val="00656BD3"/>
    <w:rsid w:val="00660115"/>
    <w:rsid w:val="00661EBC"/>
    <w:rsid w:val="00663B4C"/>
    <w:rsid w:val="00666728"/>
    <w:rsid w:val="00666C1C"/>
    <w:rsid w:val="0066708B"/>
    <w:rsid w:val="006673B9"/>
    <w:rsid w:val="0066769A"/>
    <w:rsid w:val="00667A48"/>
    <w:rsid w:val="006705BD"/>
    <w:rsid w:val="006720E9"/>
    <w:rsid w:val="006779CF"/>
    <w:rsid w:val="00677E3E"/>
    <w:rsid w:val="00681D59"/>
    <w:rsid w:val="00682454"/>
    <w:rsid w:val="006828FF"/>
    <w:rsid w:val="00682BE2"/>
    <w:rsid w:val="00682F2D"/>
    <w:rsid w:val="006837C5"/>
    <w:rsid w:val="00683F3F"/>
    <w:rsid w:val="006849C7"/>
    <w:rsid w:val="00685709"/>
    <w:rsid w:val="0069378E"/>
    <w:rsid w:val="0069412A"/>
    <w:rsid w:val="00696362"/>
    <w:rsid w:val="00696936"/>
    <w:rsid w:val="00697661"/>
    <w:rsid w:val="006A021E"/>
    <w:rsid w:val="006A2A83"/>
    <w:rsid w:val="006A3FC8"/>
    <w:rsid w:val="006A5383"/>
    <w:rsid w:val="006A54F7"/>
    <w:rsid w:val="006A5DEB"/>
    <w:rsid w:val="006A6FE6"/>
    <w:rsid w:val="006A7711"/>
    <w:rsid w:val="006B0D78"/>
    <w:rsid w:val="006B14CB"/>
    <w:rsid w:val="006B3BC9"/>
    <w:rsid w:val="006B4B53"/>
    <w:rsid w:val="006B582D"/>
    <w:rsid w:val="006B67A5"/>
    <w:rsid w:val="006B6ABF"/>
    <w:rsid w:val="006B76F1"/>
    <w:rsid w:val="006C09B8"/>
    <w:rsid w:val="006C0C1B"/>
    <w:rsid w:val="006C18F7"/>
    <w:rsid w:val="006C5324"/>
    <w:rsid w:val="006C547D"/>
    <w:rsid w:val="006D1762"/>
    <w:rsid w:val="006D21F1"/>
    <w:rsid w:val="006D5543"/>
    <w:rsid w:val="006D6446"/>
    <w:rsid w:val="006E103B"/>
    <w:rsid w:val="006E1C04"/>
    <w:rsid w:val="006E28DE"/>
    <w:rsid w:val="006E2B39"/>
    <w:rsid w:val="006E3DC0"/>
    <w:rsid w:val="006E42C9"/>
    <w:rsid w:val="006E4351"/>
    <w:rsid w:val="006E46A3"/>
    <w:rsid w:val="006E5EF3"/>
    <w:rsid w:val="006E6395"/>
    <w:rsid w:val="006E7FAA"/>
    <w:rsid w:val="006F01B3"/>
    <w:rsid w:val="006F02BD"/>
    <w:rsid w:val="006F431D"/>
    <w:rsid w:val="006F46C6"/>
    <w:rsid w:val="006F4F77"/>
    <w:rsid w:val="006F734A"/>
    <w:rsid w:val="006F77D3"/>
    <w:rsid w:val="007001ED"/>
    <w:rsid w:val="007002E6"/>
    <w:rsid w:val="007005BB"/>
    <w:rsid w:val="00701118"/>
    <w:rsid w:val="00702B37"/>
    <w:rsid w:val="007042E5"/>
    <w:rsid w:val="007050D8"/>
    <w:rsid w:val="00705492"/>
    <w:rsid w:val="00707C2E"/>
    <w:rsid w:val="00713D36"/>
    <w:rsid w:val="00720033"/>
    <w:rsid w:val="00720A7B"/>
    <w:rsid w:val="00721E4F"/>
    <w:rsid w:val="007220B5"/>
    <w:rsid w:val="00722242"/>
    <w:rsid w:val="00723786"/>
    <w:rsid w:val="007239AC"/>
    <w:rsid w:val="00724BF8"/>
    <w:rsid w:val="00725B4E"/>
    <w:rsid w:val="0072640C"/>
    <w:rsid w:val="00727502"/>
    <w:rsid w:val="0072758F"/>
    <w:rsid w:val="00727764"/>
    <w:rsid w:val="00731256"/>
    <w:rsid w:val="00732987"/>
    <w:rsid w:val="00733566"/>
    <w:rsid w:val="00733646"/>
    <w:rsid w:val="00735344"/>
    <w:rsid w:val="007358D9"/>
    <w:rsid w:val="007360AC"/>
    <w:rsid w:val="00740443"/>
    <w:rsid w:val="007416E1"/>
    <w:rsid w:val="00741DEE"/>
    <w:rsid w:val="007420C2"/>
    <w:rsid w:val="00742808"/>
    <w:rsid w:val="00742DB1"/>
    <w:rsid w:val="0074386D"/>
    <w:rsid w:val="00743BB9"/>
    <w:rsid w:val="00743D69"/>
    <w:rsid w:val="00745AEA"/>
    <w:rsid w:val="00745C16"/>
    <w:rsid w:val="007502DB"/>
    <w:rsid w:val="007532B7"/>
    <w:rsid w:val="00753926"/>
    <w:rsid w:val="00754F1D"/>
    <w:rsid w:val="007562D8"/>
    <w:rsid w:val="0075795C"/>
    <w:rsid w:val="0076007A"/>
    <w:rsid w:val="00760944"/>
    <w:rsid w:val="00760EDF"/>
    <w:rsid w:val="00766A83"/>
    <w:rsid w:val="00767604"/>
    <w:rsid w:val="00770750"/>
    <w:rsid w:val="00770BA8"/>
    <w:rsid w:val="00771E0A"/>
    <w:rsid w:val="007721A1"/>
    <w:rsid w:val="00773FBB"/>
    <w:rsid w:val="007747E8"/>
    <w:rsid w:val="00774CA8"/>
    <w:rsid w:val="007775DD"/>
    <w:rsid w:val="00777A5F"/>
    <w:rsid w:val="00777F2D"/>
    <w:rsid w:val="007800EC"/>
    <w:rsid w:val="0078179D"/>
    <w:rsid w:val="00783BCA"/>
    <w:rsid w:val="007852DF"/>
    <w:rsid w:val="00786D64"/>
    <w:rsid w:val="007955A2"/>
    <w:rsid w:val="00796403"/>
    <w:rsid w:val="00796892"/>
    <w:rsid w:val="00796FF7"/>
    <w:rsid w:val="00797016"/>
    <w:rsid w:val="00797308"/>
    <w:rsid w:val="007A0203"/>
    <w:rsid w:val="007A0EFC"/>
    <w:rsid w:val="007A1025"/>
    <w:rsid w:val="007A2D5E"/>
    <w:rsid w:val="007A6B3F"/>
    <w:rsid w:val="007A7021"/>
    <w:rsid w:val="007B0157"/>
    <w:rsid w:val="007B4272"/>
    <w:rsid w:val="007B611A"/>
    <w:rsid w:val="007B6412"/>
    <w:rsid w:val="007B6E0E"/>
    <w:rsid w:val="007B7C29"/>
    <w:rsid w:val="007C06D7"/>
    <w:rsid w:val="007C0F35"/>
    <w:rsid w:val="007C32A8"/>
    <w:rsid w:val="007C72FF"/>
    <w:rsid w:val="007C7940"/>
    <w:rsid w:val="007D2A01"/>
    <w:rsid w:val="007D42F4"/>
    <w:rsid w:val="007D45E7"/>
    <w:rsid w:val="007D47BC"/>
    <w:rsid w:val="007D4A62"/>
    <w:rsid w:val="007D5627"/>
    <w:rsid w:val="007D57C9"/>
    <w:rsid w:val="007D6504"/>
    <w:rsid w:val="007D7E86"/>
    <w:rsid w:val="007E184D"/>
    <w:rsid w:val="007E1968"/>
    <w:rsid w:val="007E1D73"/>
    <w:rsid w:val="007E1E84"/>
    <w:rsid w:val="007E22E0"/>
    <w:rsid w:val="007E4CEA"/>
    <w:rsid w:val="007E5866"/>
    <w:rsid w:val="007F1C13"/>
    <w:rsid w:val="007F271C"/>
    <w:rsid w:val="007F2FDF"/>
    <w:rsid w:val="007F45D4"/>
    <w:rsid w:val="007F5F45"/>
    <w:rsid w:val="007F75D8"/>
    <w:rsid w:val="007F7F33"/>
    <w:rsid w:val="00800523"/>
    <w:rsid w:val="00801F4C"/>
    <w:rsid w:val="00801FC9"/>
    <w:rsid w:val="00802C4D"/>
    <w:rsid w:val="008030EA"/>
    <w:rsid w:val="00806650"/>
    <w:rsid w:val="008073A8"/>
    <w:rsid w:val="008077B9"/>
    <w:rsid w:val="00811B82"/>
    <w:rsid w:val="0081372F"/>
    <w:rsid w:val="00814E5B"/>
    <w:rsid w:val="00815B51"/>
    <w:rsid w:val="00815E11"/>
    <w:rsid w:val="00816D18"/>
    <w:rsid w:val="0081734F"/>
    <w:rsid w:val="008211E5"/>
    <w:rsid w:val="00822A61"/>
    <w:rsid w:val="00822C9B"/>
    <w:rsid w:val="0082416C"/>
    <w:rsid w:val="00824334"/>
    <w:rsid w:val="008249AE"/>
    <w:rsid w:val="00826B64"/>
    <w:rsid w:val="008273CC"/>
    <w:rsid w:val="008278A8"/>
    <w:rsid w:val="00827A4A"/>
    <w:rsid w:val="00827B8A"/>
    <w:rsid w:val="00831FB0"/>
    <w:rsid w:val="00832074"/>
    <w:rsid w:val="00833585"/>
    <w:rsid w:val="00834EDC"/>
    <w:rsid w:val="00836D41"/>
    <w:rsid w:val="008375AA"/>
    <w:rsid w:val="00840AFA"/>
    <w:rsid w:val="008417F5"/>
    <w:rsid w:val="008422CA"/>
    <w:rsid w:val="00846C4E"/>
    <w:rsid w:val="0084773A"/>
    <w:rsid w:val="00854B6E"/>
    <w:rsid w:val="00856A89"/>
    <w:rsid w:val="00856ACB"/>
    <w:rsid w:val="00856B1C"/>
    <w:rsid w:val="008615B3"/>
    <w:rsid w:val="0086205A"/>
    <w:rsid w:val="00863147"/>
    <w:rsid w:val="00863251"/>
    <w:rsid w:val="00863FDB"/>
    <w:rsid w:val="00864C7D"/>
    <w:rsid w:val="008650DE"/>
    <w:rsid w:val="00865606"/>
    <w:rsid w:val="008665D8"/>
    <w:rsid w:val="00867E80"/>
    <w:rsid w:val="008704CD"/>
    <w:rsid w:val="00872553"/>
    <w:rsid w:val="00874291"/>
    <w:rsid w:val="00876040"/>
    <w:rsid w:val="008767DB"/>
    <w:rsid w:val="008779CE"/>
    <w:rsid w:val="00880FED"/>
    <w:rsid w:val="00882B46"/>
    <w:rsid w:val="00885060"/>
    <w:rsid w:val="008862AB"/>
    <w:rsid w:val="008874DD"/>
    <w:rsid w:val="00887B2C"/>
    <w:rsid w:val="00890E3F"/>
    <w:rsid w:val="0089288E"/>
    <w:rsid w:val="008979D5"/>
    <w:rsid w:val="008A20E6"/>
    <w:rsid w:val="008A37BA"/>
    <w:rsid w:val="008A4AE4"/>
    <w:rsid w:val="008A5381"/>
    <w:rsid w:val="008A62FF"/>
    <w:rsid w:val="008A716F"/>
    <w:rsid w:val="008A77FF"/>
    <w:rsid w:val="008B046A"/>
    <w:rsid w:val="008B1157"/>
    <w:rsid w:val="008B1776"/>
    <w:rsid w:val="008B225B"/>
    <w:rsid w:val="008B447B"/>
    <w:rsid w:val="008B59E3"/>
    <w:rsid w:val="008B630B"/>
    <w:rsid w:val="008B7B0B"/>
    <w:rsid w:val="008C08D4"/>
    <w:rsid w:val="008C1F29"/>
    <w:rsid w:val="008C24D9"/>
    <w:rsid w:val="008C7B8A"/>
    <w:rsid w:val="008D34CE"/>
    <w:rsid w:val="008D3547"/>
    <w:rsid w:val="008D3FD7"/>
    <w:rsid w:val="008D3FF9"/>
    <w:rsid w:val="008D4AD0"/>
    <w:rsid w:val="008D5871"/>
    <w:rsid w:val="008E1710"/>
    <w:rsid w:val="008E1785"/>
    <w:rsid w:val="008E2824"/>
    <w:rsid w:val="008E5689"/>
    <w:rsid w:val="008F069D"/>
    <w:rsid w:val="008F115F"/>
    <w:rsid w:val="008F1ED1"/>
    <w:rsid w:val="008F43FD"/>
    <w:rsid w:val="008F4CD7"/>
    <w:rsid w:val="0090211D"/>
    <w:rsid w:val="009030BD"/>
    <w:rsid w:val="009039C1"/>
    <w:rsid w:val="00905584"/>
    <w:rsid w:val="00906140"/>
    <w:rsid w:val="00906BBF"/>
    <w:rsid w:val="00910050"/>
    <w:rsid w:val="009106BF"/>
    <w:rsid w:val="00911B24"/>
    <w:rsid w:val="00912AD1"/>
    <w:rsid w:val="00920253"/>
    <w:rsid w:val="0092103E"/>
    <w:rsid w:val="009215C7"/>
    <w:rsid w:val="00925752"/>
    <w:rsid w:val="00925EB3"/>
    <w:rsid w:val="009270BF"/>
    <w:rsid w:val="00927687"/>
    <w:rsid w:val="0093091D"/>
    <w:rsid w:val="0093157B"/>
    <w:rsid w:val="00936D95"/>
    <w:rsid w:val="00937574"/>
    <w:rsid w:val="009379FB"/>
    <w:rsid w:val="009405B1"/>
    <w:rsid w:val="009438EE"/>
    <w:rsid w:val="0094410D"/>
    <w:rsid w:val="009455C5"/>
    <w:rsid w:val="00945D99"/>
    <w:rsid w:val="00947AC8"/>
    <w:rsid w:val="00947B9A"/>
    <w:rsid w:val="0095059D"/>
    <w:rsid w:val="00952BAA"/>
    <w:rsid w:val="00952CBD"/>
    <w:rsid w:val="009551C1"/>
    <w:rsid w:val="0095620B"/>
    <w:rsid w:val="00956F06"/>
    <w:rsid w:val="009577DA"/>
    <w:rsid w:val="00962899"/>
    <w:rsid w:val="00962A15"/>
    <w:rsid w:val="00964836"/>
    <w:rsid w:val="00964906"/>
    <w:rsid w:val="00965CEE"/>
    <w:rsid w:val="00965CF0"/>
    <w:rsid w:val="00967E40"/>
    <w:rsid w:val="009712B8"/>
    <w:rsid w:val="00972220"/>
    <w:rsid w:val="009733DC"/>
    <w:rsid w:val="00974581"/>
    <w:rsid w:val="00974B69"/>
    <w:rsid w:val="00974C84"/>
    <w:rsid w:val="009752CE"/>
    <w:rsid w:val="00976F9C"/>
    <w:rsid w:val="00977956"/>
    <w:rsid w:val="009806CF"/>
    <w:rsid w:val="00980F99"/>
    <w:rsid w:val="00981592"/>
    <w:rsid w:val="00981BC2"/>
    <w:rsid w:val="0098274E"/>
    <w:rsid w:val="00983237"/>
    <w:rsid w:val="00983D24"/>
    <w:rsid w:val="009843BC"/>
    <w:rsid w:val="009853C5"/>
    <w:rsid w:val="00985553"/>
    <w:rsid w:val="00987A6F"/>
    <w:rsid w:val="009900CB"/>
    <w:rsid w:val="00990FC9"/>
    <w:rsid w:val="00991431"/>
    <w:rsid w:val="00995447"/>
    <w:rsid w:val="00996DFC"/>
    <w:rsid w:val="0099708A"/>
    <w:rsid w:val="00997385"/>
    <w:rsid w:val="009A0337"/>
    <w:rsid w:val="009A144F"/>
    <w:rsid w:val="009A242A"/>
    <w:rsid w:val="009A5521"/>
    <w:rsid w:val="009A572D"/>
    <w:rsid w:val="009A5B67"/>
    <w:rsid w:val="009A7323"/>
    <w:rsid w:val="009A73F1"/>
    <w:rsid w:val="009B270C"/>
    <w:rsid w:val="009B4153"/>
    <w:rsid w:val="009B442C"/>
    <w:rsid w:val="009B5525"/>
    <w:rsid w:val="009B5D79"/>
    <w:rsid w:val="009B6CA2"/>
    <w:rsid w:val="009C059E"/>
    <w:rsid w:val="009C1501"/>
    <w:rsid w:val="009C3473"/>
    <w:rsid w:val="009C4C81"/>
    <w:rsid w:val="009C4E08"/>
    <w:rsid w:val="009C5D89"/>
    <w:rsid w:val="009C681D"/>
    <w:rsid w:val="009C78C9"/>
    <w:rsid w:val="009D0437"/>
    <w:rsid w:val="009D0713"/>
    <w:rsid w:val="009D12E8"/>
    <w:rsid w:val="009D1B66"/>
    <w:rsid w:val="009D44C5"/>
    <w:rsid w:val="009D54ED"/>
    <w:rsid w:val="009D6BA1"/>
    <w:rsid w:val="009D73F1"/>
    <w:rsid w:val="009D79AF"/>
    <w:rsid w:val="009E0AB0"/>
    <w:rsid w:val="009E0B44"/>
    <w:rsid w:val="009E3776"/>
    <w:rsid w:val="009E57D6"/>
    <w:rsid w:val="009E5952"/>
    <w:rsid w:val="009E7A48"/>
    <w:rsid w:val="009F1061"/>
    <w:rsid w:val="009F14B7"/>
    <w:rsid w:val="009F1DDA"/>
    <w:rsid w:val="009F2696"/>
    <w:rsid w:val="009F3BCE"/>
    <w:rsid w:val="009F417C"/>
    <w:rsid w:val="009F4632"/>
    <w:rsid w:val="009F4F82"/>
    <w:rsid w:val="009F51A3"/>
    <w:rsid w:val="009F69C6"/>
    <w:rsid w:val="009F6AE9"/>
    <w:rsid w:val="009F6DA3"/>
    <w:rsid w:val="009F73D5"/>
    <w:rsid w:val="009F780C"/>
    <w:rsid w:val="00A001CD"/>
    <w:rsid w:val="00A00352"/>
    <w:rsid w:val="00A01225"/>
    <w:rsid w:val="00A02705"/>
    <w:rsid w:val="00A02762"/>
    <w:rsid w:val="00A02CF9"/>
    <w:rsid w:val="00A03BCE"/>
    <w:rsid w:val="00A04472"/>
    <w:rsid w:val="00A047D1"/>
    <w:rsid w:val="00A04DDD"/>
    <w:rsid w:val="00A05CB0"/>
    <w:rsid w:val="00A06591"/>
    <w:rsid w:val="00A07499"/>
    <w:rsid w:val="00A10FE1"/>
    <w:rsid w:val="00A1195F"/>
    <w:rsid w:val="00A14205"/>
    <w:rsid w:val="00A16483"/>
    <w:rsid w:val="00A16861"/>
    <w:rsid w:val="00A173A1"/>
    <w:rsid w:val="00A17D0C"/>
    <w:rsid w:val="00A208F0"/>
    <w:rsid w:val="00A22A0D"/>
    <w:rsid w:val="00A24CA8"/>
    <w:rsid w:val="00A25065"/>
    <w:rsid w:val="00A309E9"/>
    <w:rsid w:val="00A30DE4"/>
    <w:rsid w:val="00A356BC"/>
    <w:rsid w:val="00A362FF"/>
    <w:rsid w:val="00A365AF"/>
    <w:rsid w:val="00A3747E"/>
    <w:rsid w:val="00A40C92"/>
    <w:rsid w:val="00A41691"/>
    <w:rsid w:val="00A41F0D"/>
    <w:rsid w:val="00A41F14"/>
    <w:rsid w:val="00A423E0"/>
    <w:rsid w:val="00A43411"/>
    <w:rsid w:val="00A44261"/>
    <w:rsid w:val="00A45CF3"/>
    <w:rsid w:val="00A47C04"/>
    <w:rsid w:val="00A5292F"/>
    <w:rsid w:val="00A54CE0"/>
    <w:rsid w:val="00A55677"/>
    <w:rsid w:val="00A55914"/>
    <w:rsid w:val="00A5653C"/>
    <w:rsid w:val="00A56F52"/>
    <w:rsid w:val="00A57B7F"/>
    <w:rsid w:val="00A60407"/>
    <w:rsid w:val="00A624E4"/>
    <w:rsid w:val="00A62D75"/>
    <w:rsid w:val="00A637A5"/>
    <w:rsid w:val="00A63E81"/>
    <w:rsid w:val="00A658B5"/>
    <w:rsid w:val="00A65CAE"/>
    <w:rsid w:val="00A7089C"/>
    <w:rsid w:val="00A7502A"/>
    <w:rsid w:val="00A768A4"/>
    <w:rsid w:val="00A76BE8"/>
    <w:rsid w:val="00A778A3"/>
    <w:rsid w:val="00A77957"/>
    <w:rsid w:val="00A77AB9"/>
    <w:rsid w:val="00A8183F"/>
    <w:rsid w:val="00A818ED"/>
    <w:rsid w:val="00A81E6E"/>
    <w:rsid w:val="00A827FF"/>
    <w:rsid w:val="00A86CFA"/>
    <w:rsid w:val="00A90251"/>
    <w:rsid w:val="00A9057E"/>
    <w:rsid w:val="00A916F1"/>
    <w:rsid w:val="00A91A7D"/>
    <w:rsid w:val="00A92B4A"/>
    <w:rsid w:val="00A93FF9"/>
    <w:rsid w:val="00A957CC"/>
    <w:rsid w:val="00A970D3"/>
    <w:rsid w:val="00A9765D"/>
    <w:rsid w:val="00A97BAC"/>
    <w:rsid w:val="00AA07CD"/>
    <w:rsid w:val="00AA2736"/>
    <w:rsid w:val="00AA2EE6"/>
    <w:rsid w:val="00AA3AA3"/>
    <w:rsid w:val="00AA51E7"/>
    <w:rsid w:val="00AA62DA"/>
    <w:rsid w:val="00AA7326"/>
    <w:rsid w:val="00AA7E7A"/>
    <w:rsid w:val="00AB30C5"/>
    <w:rsid w:val="00AB5F42"/>
    <w:rsid w:val="00AB6B17"/>
    <w:rsid w:val="00AB7BC3"/>
    <w:rsid w:val="00AC0854"/>
    <w:rsid w:val="00AC0A9D"/>
    <w:rsid w:val="00AC28C2"/>
    <w:rsid w:val="00AC3BBD"/>
    <w:rsid w:val="00AC3D47"/>
    <w:rsid w:val="00AC7B9D"/>
    <w:rsid w:val="00AD0AD9"/>
    <w:rsid w:val="00AD26F2"/>
    <w:rsid w:val="00AD4375"/>
    <w:rsid w:val="00AD4E52"/>
    <w:rsid w:val="00AD4EF7"/>
    <w:rsid w:val="00AD6150"/>
    <w:rsid w:val="00AE160F"/>
    <w:rsid w:val="00AE52C0"/>
    <w:rsid w:val="00AE6BF3"/>
    <w:rsid w:val="00AE798A"/>
    <w:rsid w:val="00AF01C8"/>
    <w:rsid w:val="00AF23CC"/>
    <w:rsid w:val="00AF371F"/>
    <w:rsid w:val="00AF6DF2"/>
    <w:rsid w:val="00AF7A3A"/>
    <w:rsid w:val="00B00D36"/>
    <w:rsid w:val="00B01275"/>
    <w:rsid w:val="00B016FE"/>
    <w:rsid w:val="00B02AE2"/>
    <w:rsid w:val="00B04228"/>
    <w:rsid w:val="00B05324"/>
    <w:rsid w:val="00B054E7"/>
    <w:rsid w:val="00B0610B"/>
    <w:rsid w:val="00B10D08"/>
    <w:rsid w:val="00B1103F"/>
    <w:rsid w:val="00B113C7"/>
    <w:rsid w:val="00B11E0C"/>
    <w:rsid w:val="00B143C4"/>
    <w:rsid w:val="00B17026"/>
    <w:rsid w:val="00B171A8"/>
    <w:rsid w:val="00B17CAF"/>
    <w:rsid w:val="00B213E5"/>
    <w:rsid w:val="00B23045"/>
    <w:rsid w:val="00B238E0"/>
    <w:rsid w:val="00B23AE7"/>
    <w:rsid w:val="00B24205"/>
    <w:rsid w:val="00B25B1A"/>
    <w:rsid w:val="00B27841"/>
    <w:rsid w:val="00B27FF1"/>
    <w:rsid w:val="00B30617"/>
    <w:rsid w:val="00B31E9A"/>
    <w:rsid w:val="00B31FF0"/>
    <w:rsid w:val="00B33F4F"/>
    <w:rsid w:val="00B341C2"/>
    <w:rsid w:val="00B40104"/>
    <w:rsid w:val="00B401D3"/>
    <w:rsid w:val="00B4105F"/>
    <w:rsid w:val="00B4230F"/>
    <w:rsid w:val="00B42F53"/>
    <w:rsid w:val="00B43E01"/>
    <w:rsid w:val="00B46766"/>
    <w:rsid w:val="00B46BA9"/>
    <w:rsid w:val="00B46E37"/>
    <w:rsid w:val="00B47845"/>
    <w:rsid w:val="00B50723"/>
    <w:rsid w:val="00B50CA8"/>
    <w:rsid w:val="00B52682"/>
    <w:rsid w:val="00B54975"/>
    <w:rsid w:val="00B54E8B"/>
    <w:rsid w:val="00B555BD"/>
    <w:rsid w:val="00B55B53"/>
    <w:rsid w:val="00B57F3F"/>
    <w:rsid w:val="00B60B2F"/>
    <w:rsid w:val="00B61097"/>
    <w:rsid w:val="00B6259A"/>
    <w:rsid w:val="00B62CF7"/>
    <w:rsid w:val="00B64DBE"/>
    <w:rsid w:val="00B66F57"/>
    <w:rsid w:val="00B67737"/>
    <w:rsid w:val="00B713D2"/>
    <w:rsid w:val="00B7577A"/>
    <w:rsid w:val="00B764C6"/>
    <w:rsid w:val="00B8124F"/>
    <w:rsid w:val="00B846FA"/>
    <w:rsid w:val="00B85C81"/>
    <w:rsid w:val="00B86A7C"/>
    <w:rsid w:val="00B87F4F"/>
    <w:rsid w:val="00B90906"/>
    <w:rsid w:val="00B92DD5"/>
    <w:rsid w:val="00B94EB3"/>
    <w:rsid w:val="00B951E6"/>
    <w:rsid w:val="00B97B6C"/>
    <w:rsid w:val="00B97C7A"/>
    <w:rsid w:val="00BA0884"/>
    <w:rsid w:val="00BA1E8A"/>
    <w:rsid w:val="00BA2CCA"/>
    <w:rsid w:val="00BA3BF0"/>
    <w:rsid w:val="00BA4089"/>
    <w:rsid w:val="00BA4C95"/>
    <w:rsid w:val="00BA67FA"/>
    <w:rsid w:val="00BA70A6"/>
    <w:rsid w:val="00BA7BDF"/>
    <w:rsid w:val="00BB5B15"/>
    <w:rsid w:val="00BB6E26"/>
    <w:rsid w:val="00BB7414"/>
    <w:rsid w:val="00BB792A"/>
    <w:rsid w:val="00BC1072"/>
    <w:rsid w:val="00BC3A9E"/>
    <w:rsid w:val="00BC3AA1"/>
    <w:rsid w:val="00BC3F13"/>
    <w:rsid w:val="00BC4637"/>
    <w:rsid w:val="00BC47C5"/>
    <w:rsid w:val="00BC5583"/>
    <w:rsid w:val="00BC5BD4"/>
    <w:rsid w:val="00BD0B33"/>
    <w:rsid w:val="00BD0E00"/>
    <w:rsid w:val="00BD21BE"/>
    <w:rsid w:val="00BD2A58"/>
    <w:rsid w:val="00BD4718"/>
    <w:rsid w:val="00BD5BD3"/>
    <w:rsid w:val="00BD6211"/>
    <w:rsid w:val="00BE0CCE"/>
    <w:rsid w:val="00BE1997"/>
    <w:rsid w:val="00BE37ED"/>
    <w:rsid w:val="00BE3DB6"/>
    <w:rsid w:val="00BE5572"/>
    <w:rsid w:val="00BE590E"/>
    <w:rsid w:val="00BE6860"/>
    <w:rsid w:val="00BE708B"/>
    <w:rsid w:val="00BE7573"/>
    <w:rsid w:val="00BF15CC"/>
    <w:rsid w:val="00BF1CE2"/>
    <w:rsid w:val="00BF2F66"/>
    <w:rsid w:val="00BF3F2F"/>
    <w:rsid w:val="00BF3F90"/>
    <w:rsid w:val="00C023EA"/>
    <w:rsid w:val="00C02BB8"/>
    <w:rsid w:val="00C03626"/>
    <w:rsid w:val="00C03901"/>
    <w:rsid w:val="00C0406C"/>
    <w:rsid w:val="00C04933"/>
    <w:rsid w:val="00C04C87"/>
    <w:rsid w:val="00C055D1"/>
    <w:rsid w:val="00C0625B"/>
    <w:rsid w:val="00C11BFD"/>
    <w:rsid w:val="00C12F17"/>
    <w:rsid w:val="00C132A4"/>
    <w:rsid w:val="00C13494"/>
    <w:rsid w:val="00C150E7"/>
    <w:rsid w:val="00C20525"/>
    <w:rsid w:val="00C214D1"/>
    <w:rsid w:val="00C2264B"/>
    <w:rsid w:val="00C22A45"/>
    <w:rsid w:val="00C23903"/>
    <w:rsid w:val="00C24848"/>
    <w:rsid w:val="00C25351"/>
    <w:rsid w:val="00C2595E"/>
    <w:rsid w:val="00C26642"/>
    <w:rsid w:val="00C27CB2"/>
    <w:rsid w:val="00C30749"/>
    <w:rsid w:val="00C310A0"/>
    <w:rsid w:val="00C313DD"/>
    <w:rsid w:val="00C3145B"/>
    <w:rsid w:val="00C32505"/>
    <w:rsid w:val="00C335A3"/>
    <w:rsid w:val="00C34E25"/>
    <w:rsid w:val="00C35055"/>
    <w:rsid w:val="00C35290"/>
    <w:rsid w:val="00C36F8A"/>
    <w:rsid w:val="00C40BE3"/>
    <w:rsid w:val="00C418DE"/>
    <w:rsid w:val="00C42C8A"/>
    <w:rsid w:val="00C43C49"/>
    <w:rsid w:val="00C445EA"/>
    <w:rsid w:val="00C451F5"/>
    <w:rsid w:val="00C452D3"/>
    <w:rsid w:val="00C4583A"/>
    <w:rsid w:val="00C50B63"/>
    <w:rsid w:val="00C514BA"/>
    <w:rsid w:val="00C51968"/>
    <w:rsid w:val="00C52013"/>
    <w:rsid w:val="00C522DF"/>
    <w:rsid w:val="00C52BA9"/>
    <w:rsid w:val="00C52C7F"/>
    <w:rsid w:val="00C54AC1"/>
    <w:rsid w:val="00C54B76"/>
    <w:rsid w:val="00C54F39"/>
    <w:rsid w:val="00C55ACC"/>
    <w:rsid w:val="00C55D7B"/>
    <w:rsid w:val="00C5671F"/>
    <w:rsid w:val="00C6014A"/>
    <w:rsid w:val="00C60A34"/>
    <w:rsid w:val="00C6320B"/>
    <w:rsid w:val="00C64E2A"/>
    <w:rsid w:val="00C65AB3"/>
    <w:rsid w:val="00C66151"/>
    <w:rsid w:val="00C665FA"/>
    <w:rsid w:val="00C67D0F"/>
    <w:rsid w:val="00C74417"/>
    <w:rsid w:val="00C7797F"/>
    <w:rsid w:val="00C77F8D"/>
    <w:rsid w:val="00C812F9"/>
    <w:rsid w:val="00C818B8"/>
    <w:rsid w:val="00C82285"/>
    <w:rsid w:val="00C827B8"/>
    <w:rsid w:val="00C87633"/>
    <w:rsid w:val="00C9096C"/>
    <w:rsid w:val="00C93D6F"/>
    <w:rsid w:val="00C952D9"/>
    <w:rsid w:val="00C9609F"/>
    <w:rsid w:val="00C96499"/>
    <w:rsid w:val="00C96651"/>
    <w:rsid w:val="00C97471"/>
    <w:rsid w:val="00C9794A"/>
    <w:rsid w:val="00CA08FD"/>
    <w:rsid w:val="00CA168B"/>
    <w:rsid w:val="00CA27E5"/>
    <w:rsid w:val="00CA366C"/>
    <w:rsid w:val="00CA3753"/>
    <w:rsid w:val="00CA39AF"/>
    <w:rsid w:val="00CA69C2"/>
    <w:rsid w:val="00CA7E24"/>
    <w:rsid w:val="00CB1A11"/>
    <w:rsid w:val="00CB2394"/>
    <w:rsid w:val="00CB424B"/>
    <w:rsid w:val="00CB6EE9"/>
    <w:rsid w:val="00CB745F"/>
    <w:rsid w:val="00CB74B9"/>
    <w:rsid w:val="00CB7EC0"/>
    <w:rsid w:val="00CC0194"/>
    <w:rsid w:val="00CC0C9F"/>
    <w:rsid w:val="00CC1243"/>
    <w:rsid w:val="00CC1CAB"/>
    <w:rsid w:val="00CC4416"/>
    <w:rsid w:val="00CC4E9E"/>
    <w:rsid w:val="00CC512C"/>
    <w:rsid w:val="00CC61AD"/>
    <w:rsid w:val="00CD0B95"/>
    <w:rsid w:val="00CD1256"/>
    <w:rsid w:val="00CD30E2"/>
    <w:rsid w:val="00CD3514"/>
    <w:rsid w:val="00CD3F1D"/>
    <w:rsid w:val="00CD41C4"/>
    <w:rsid w:val="00CD4732"/>
    <w:rsid w:val="00CD59BE"/>
    <w:rsid w:val="00CD6D49"/>
    <w:rsid w:val="00CD75D6"/>
    <w:rsid w:val="00CE0320"/>
    <w:rsid w:val="00CE3976"/>
    <w:rsid w:val="00CE475B"/>
    <w:rsid w:val="00CE5BE9"/>
    <w:rsid w:val="00CE6080"/>
    <w:rsid w:val="00CF01B3"/>
    <w:rsid w:val="00CF0523"/>
    <w:rsid w:val="00CF0774"/>
    <w:rsid w:val="00CF5467"/>
    <w:rsid w:val="00CF573C"/>
    <w:rsid w:val="00CF7CDF"/>
    <w:rsid w:val="00D012AC"/>
    <w:rsid w:val="00D0523C"/>
    <w:rsid w:val="00D1013C"/>
    <w:rsid w:val="00D1021B"/>
    <w:rsid w:val="00D10C2F"/>
    <w:rsid w:val="00D12CE6"/>
    <w:rsid w:val="00D131F2"/>
    <w:rsid w:val="00D13753"/>
    <w:rsid w:val="00D13896"/>
    <w:rsid w:val="00D13AEC"/>
    <w:rsid w:val="00D14F8B"/>
    <w:rsid w:val="00D156BB"/>
    <w:rsid w:val="00D20183"/>
    <w:rsid w:val="00D22E42"/>
    <w:rsid w:val="00D23292"/>
    <w:rsid w:val="00D240D6"/>
    <w:rsid w:val="00D24343"/>
    <w:rsid w:val="00D24F63"/>
    <w:rsid w:val="00D25146"/>
    <w:rsid w:val="00D25ADE"/>
    <w:rsid w:val="00D26156"/>
    <w:rsid w:val="00D27220"/>
    <w:rsid w:val="00D276A5"/>
    <w:rsid w:val="00D278AB"/>
    <w:rsid w:val="00D33706"/>
    <w:rsid w:val="00D344FF"/>
    <w:rsid w:val="00D3548E"/>
    <w:rsid w:val="00D35ACC"/>
    <w:rsid w:val="00D37F13"/>
    <w:rsid w:val="00D4585C"/>
    <w:rsid w:val="00D46A2F"/>
    <w:rsid w:val="00D47EA9"/>
    <w:rsid w:val="00D5080B"/>
    <w:rsid w:val="00D51207"/>
    <w:rsid w:val="00D53560"/>
    <w:rsid w:val="00D55FAC"/>
    <w:rsid w:val="00D567CE"/>
    <w:rsid w:val="00D5775F"/>
    <w:rsid w:val="00D5790E"/>
    <w:rsid w:val="00D61625"/>
    <w:rsid w:val="00D6412D"/>
    <w:rsid w:val="00D71075"/>
    <w:rsid w:val="00D731D5"/>
    <w:rsid w:val="00D73894"/>
    <w:rsid w:val="00D74C7E"/>
    <w:rsid w:val="00D76636"/>
    <w:rsid w:val="00D7675C"/>
    <w:rsid w:val="00D76E68"/>
    <w:rsid w:val="00D77BD8"/>
    <w:rsid w:val="00D77F5F"/>
    <w:rsid w:val="00D80BB9"/>
    <w:rsid w:val="00D81787"/>
    <w:rsid w:val="00D8589A"/>
    <w:rsid w:val="00D86D14"/>
    <w:rsid w:val="00D87064"/>
    <w:rsid w:val="00D87FB7"/>
    <w:rsid w:val="00D91AB2"/>
    <w:rsid w:val="00D93E78"/>
    <w:rsid w:val="00D94B1B"/>
    <w:rsid w:val="00D95DBE"/>
    <w:rsid w:val="00D9654E"/>
    <w:rsid w:val="00DA0B8C"/>
    <w:rsid w:val="00DA0C30"/>
    <w:rsid w:val="00DA11C0"/>
    <w:rsid w:val="00DA1620"/>
    <w:rsid w:val="00DA1853"/>
    <w:rsid w:val="00DA33F7"/>
    <w:rsid w:val="00DA38FB"/>
    <w:rsid w:val="00DA3BBC"/>
    <w:rsid w:val="00DA42EC"/>
    <w:rsid w:val="00DA4D13"/>
    <w:rsid w:val="00DA5088"/>
    <w:rsid w:val="00DA65D9"/>
    <w:rsid w:val="00DB58D8"/>
    <w:rsid w:val="00DB6395"/>
    <w:rsid w:val="00DB7EED"/>
    <w:rsid w:val="00DB7FE6"/>
    <w:rsid w:val="00DC41BC"/>
    <w:rsid w:val="00DC4FB1"/>
    <w:rsid w:val="00DC5460"/>
    <w:rsid w:val="00DC741D"/>
    <w:rsid w:val="00DD0679"/>
    <w:rsid w:val="00DD0787"/>
    <w:rsid w:val="00DD0B6E"/>
    <w:rsid w:val="00DD11B1"/>
    <w:rsid w:val="00DD3B48"/>
    <w:rsid w:val="00DD412F"/>
    <w:rsid w:val="00DD45B3"/>
    <w:rsid w:val="00DD4759"/>
    <w:rsid w:val="00DD48DB"/>
    <w:rsid w:val="00DD5357"/>
    <w:rsid w:val="00DD776B"/>
    <w:rsid w:val="00DE088C"/>
    <w:rsid w:val="00DE2DE2"/>
    <w:rsid w:val="00DE3E25"/>
    <w:rsid w:val="00DE4014"/>
    <w:rsid w:val="00DE595B"/>
    <w:rsid w:val="00DE6D55"/>
    <w:rsid w:val="00DE70C8"/>
    <w:rsid w:val="00DE7652"/>
    <w:rsid w:val="00DE7EE3"/>
    <w:rsid w:val="00DF16F8"/>
    <w:rsid w:val="00DF1CB6"/>
    <w:rsid w:val="00DF2388"/>
    <w:rsid w:val="00DF262B"/>
    <w:rsid w:val="00DF26A6"/>
    <w:rsid w:val="00DF412F"/>
    <w:rsid w:val="00DF492A"/>
    <w:rsid w:val="00DF4E04"/>
    <w:rsid w:val="00DF553E"/>
    <w:rsid w:val="00DF7225"/>
    <w:rsid w:val="00DF742C"/>
    <w:rsid w:val="00DF78C5"/>
    <w:rsid w:val="00E00529"/>
    <w:rsid w:val="00E01198"/>
    <w:rsid w:val="00E025FE"/>
    <w:rsid w:val="00E026F8"/>
    <w:rsid w:val="00E028C5"/>
    <w:rsid w:val="00E02CEF"/>
    <w:rsid w:val="00E02E2C"/>
    <w:rsid w:val="00E031AF"/>
    <w:rsid w:val="00E03F6B"/>
    <w:rsid w:val="00E04250"/>
    <w:rsid w:val="00E04947"/>
    <w:rsid w:val="00E0670F"/>
    <w:rsid w:val="00E06EF6"/>
    <w:rsid w:val="00E1014C"/>
    <w:rsid w:val="00E11C4C"/>
    <w:rsid w:val="00E11D80"/>
    <w:rsid w:val="00E14D0D"/>
    <w:rsid w:val="00E1549B"/>
    <w:rsid w:val="00E15AB1"/>
    <w:rsid w:val="00E15C02"/>
    <w:rsid w:val="00E17343"/>
    <w:rsid w:val="00E173D9"/>
    <w:rsid w:val="00E257A6"/>
    <w:rsid w:val="00E270F9"/>
    <w:rsid w:val="00E27F21"/>
    <w:rsid w:val="00E27F30"/>
    <w:rsid w:val="00E303DF"/>
    <w:rsid w:val="00E3333E"/>
    <w:rsid w:val="00E333C3"/>
    <w:rsid w:val="00E33543"/>
    <w:rsid w:val="00E339B2"/>
    <w:rsid w:val="00E349BB"/>
    <w:rsid w:val="00E357E0"/>
    <w:rsid w:val="00E36B8E"/>
    <w:rsid w:val="00E41729"/>
    <w:rsid w:val="00E4294F"/>
    <w:rsid w:val="00E4389C"/>
    <w:rsid w:val="00E44550"/>
    <w:rsid w:val="00E44DA5"/>
    <w:rsid w:val="00E45062"/>
    <w:rsid w:val="00E460E8"/>
    <w:rsid w:val="00E463C0"/>
    <w:rsid w:val="00E4654E"/>
    <w:rsid w:val="00E465A8"/>
    <w:rsid w:val="00E501A1"/>
    <w:rsid w:val="00E51A6B"/>
    <w:rsid w:val="00E51B3C"/>
    <w:rsid w:val="00E52B87"/>
    <w:rsid w:val="00E55F87"/>
    <w:rsid w:val="00E622CD"/>
    <w:rsid w:val="00E6270E"/>
    <w:rsid w:val="00E62EEE"/>
    <w:rsid w:val="00E64EC4"/>
    <w:rsid w:val="00E65F0A"/>
    <w:rsid w:val="00E66194"/>
    <w:rsid w:val="00E672BA"/>
    <w:rsid w:val="00E67C5C"/>
    <w:rsid w:val="00E705B9"/>
    <w:rsid w:val="00E7189A"/>
    <w:rsid w:val="00E71D44"/>
    <w:rsid w:val="00E71E6D"/>
    <w:rsid w:val="00E72C7D"/>
    <w:rsid w:val="00E75C8E"/>
    <w:rsid w:val="00E77B1F"/>
    <w:rsid w:val="00E80CEE"/>
    <w:rsid w:val="00E81498"/>
    <w:rsid w:val="00E81DF8"/>
    <w:rsid w:val="00E82964"/>
    <w:rsid w:val="00E82A6D"/>
    <w:rsid w:val="00E84D35"/>
    <w:rsid w:val="00E851E7"/>
    <w:rsid w:val="00E87780"/>
    <w:rsid w:val="00E90897"/>
    <w:rsid w:val="00E90BBE"/>
    <w:rsid w:val="00E91D3E"/>
    <w:rsid w:val="00E9360F"/>
    <w:rsid w:val="00E95544"/>
    <w:rsid w:val="00E95E32"/>
    <w:rsid w:val="00E97705"/>
    <w:rsid w:val="00EA0F05"/>
    <w:rsid w:val="00EA1F17"/>
    <w:rsid w:val="00EA2931"/>
    <w:rsid w:val="00EA477E"/>
    <w:rsid w:val="00EA47F0"/>
    <w:rsid w:val="00EA5D8E"/>
    <w:rsid w:val="00EA64DB"/>
    <w:rsid w:val="00EB0DBA"/>
    <w:rsid w:val="00EB17FE"/>
    <w:rsid w:val="00EB1DEC"/>
    <w:rsid w:val="00EB22D0"/>
    <w:rsid w:val="00EB29E4"/>
    <w:rsid w:val="00EB2A5F"/>
    <w:rsid w:val="00EB2A92"/>
    <w:rsid w:val="00EB321A"/>
    <w:rsid w:val="00EB4B0F"/>
    <w:rsid w:val="00EB7494"/>
    <w:rsid w:val="00EB78A8"/>
    <w:rsid w:val="00EC0406"/>
    <w:rsid w:val="00EC0644"/>
    <w:rsid w:val="00EC0CF8"/>
    <w:rsid w:val="00EC4DB6"/>
    <w:rsid w:val="00EC4E80"/>
    <w:rsid w:val="00EC588A"/>
    <w:rsid w:val="00EC68B4"/>
    <w:rsid w:val="00EC7C89"/>
    <w:rsid w:val="00ED0140"/>
    <w:rsid w:val="00ED0311"/>
    <w:rsid w:val="00ED0660"/>
    <w:rsid w:val="00ED0D43"/>
    <w:rsid w:val="00ED29A3"/>
    <w:rsid w:val="00ED40E0"/>
    <w:rsid w:val="00ED4FCC"/>
    <w:rsid w:val="00ED58F8"/>
    <w:rsid w:val="00ED5D29"/>
    <w:rsid w:val="00ED5F91"/>
    <w:rsid w:val="00EE20A0"/>
    <w:rsid w:val="00EE276F"/>
    <w:rsid w:val="00EE2A3E"/>
    <w:rsid w:val="00EE371A"/>
    <w:rsid w:val="00EE4B7A"/>
    <w:rsid w:val="00EE5562"/>
    <w:rsid w:val="00EE6176"/>
    <w:rsid w:val="00EE7906"/>
    <w:rsid w:val="00EF0175"/>
    <w:rsid w:val="00EF3106"/>
    <w:rsid w:val="00EF499A"/>
    <w:rsid w:val="00EF4D3A"/>
    <w:rsid w:val="00EF61C2"/>
    <w:rsid w:val="00EF6C4B"/>
    <w:rsid w:val="00EF7805"/>
    <w:rsid w:val="00F03AC2"/>
    <w:rsid w:val="00F03D48"/>
    <w:rsid w:val="00F04A89"/>
    <w:rsid w:val="00F04C53"/>
    <w:rsid w:val="00F051C5"/>
    <w:rsid w:val="00F06088"/>
    <w:rsid w:val="00F06747"/>
    <w:rsid w:val="00F11D70"/>
    <w:rsid w:val="00F12026"/>
    <w:rsid w:val="00F13533"/>
    <w:rsid w:val="00F149B1"/>
    <w:rsid w:val="00F15557"/>
    <w:rsid w:val="00F1556E"/>
    <w:rsid w:val="00F15BE8"/>
    <w:rsid w:val="00F16E92"/>
    <w:rsid w:val="00F17ECD"/>
    <w:rsid w:val="00F17FC1"/>
    <w:rsid w:val="00F20C40"/>
    <w:rsid w:val="00F219A6"/>
    <w:rsid w:val="00F24B8E"/>
    <w:rsid w:val="00F2751C"/>
    <w:rsid w:val="00F27DC3"/>
    <w:rsid w:val="00F30880"/>
    <w:rsid w:val="00F3134F"/>
    <w:rsid w:val="00F3179E"/>
    <w:rsid w:val="00F3189C"/>
    <w:rsid w:val="00F326DA"/>
    <w:rsid w:val="00F34501"/>
    <w:rsid w:val="00F359DD"/>
    <w:rsid w:val="00F35FE2"/>
    <w:rsid w:val="00F37CCF"/>
    <w:rsid w:val="00F40A23"/>
    <w:rsid w:val="00F40E7D"/>
    <w:rsid w:val="00F42E7C"/>
    <w:rsid w:val="00F436CA"/>
    <w:rsid w:val="00F469B3"/>
    <w:rsid w:val="00F53125"/>
    <w:rsid w:val="00F544B4"/>
    <w:rsid w:val="00F55AE4"/>
    <w:rsid w:val="00F61973"/>
    <w:rsid w:val="00F629A3"/>
    <w:rsid w:val="00F63829"/>
    <w:rsid w:val="00F6396B"/>
    <w:rsid w:val="00F7108F"/>
    <w:rsid w:val="00F720D1"/>
    <w:rsid w:val="00F72B76"/>
    <w:rsid w:val="00F73A90"/>
    <w:rsid w:val="00F742C1"/>
    <w:rsid w:val="00F754B9"/>
    <w:rsid w:val="00F75A4E"/>
    <w:rsid w:val="00F80702"/>
    <w:rsid w:val="00F80A5B"/>
    <w:rsid w:val="00F82CFC"/>
    <w:rsid w:val="00F831B6"/>
    <w:rsid w:val="00F8415B"/>
    <w:rsid w:val="00F8531B"/>
    <w:rsid w:val="00F90CB5"/>
    <w:rsid w:val="00F936C3"/>
    <w:rsid w:val="00F966CA"/>
    <w:rsid w:val="00F97977"/>
    <w:rsid w:val="00FA138A"/>
    <w:rsid w:val="00FA1BBD"/>
    <w:rsid w:val="00FA37E2"/>
    <w:rsid w:val="00FA5A6B"/>
    <w:rsid w:val="00FA6EC9"/>
    <w:rsid w:val="00FA7A98"/>
    <w:rsid w:val="00FA7CE1"/>
    <w:rsid w:val="00FB16FA"/>
    <w:rsid w:val="00FB1AD9"/>
    <w:rsid w:val="00FB2740"/>
    <w:rsid w:val="00FB2DCE"/>
    <w:rsid w:val="00FB3354"/>
    <w:rsid w:val="00FB3547"/>
    <w:rsid w:val="00FB475A"/>
    <w:rsid w:val="00FB4AC3"/>
    <w:rsid w:val="00FB707C"/>
    <w:rsid w:val="00FB757B"/>
    <w:rsid w:val="00FC0A22"/>
    <w:rsid w:val="00FC2005"/>
    <w:rsid w:val="00FC389D"/>
    <w:rsid w:val="00FC4171"/>
    <w:rsid w:val="00FC4BF7"/>
    <w:rsid w:val="00FC5243"/>
    <w:rsid w:val="00FC6E40"/>
    <w:rsid w:val="00FD0C8D"/>
    <w:rsid w:val="00FD0DDA"/>
    <w:rsid w:val="00FD10E8"/>
    <w:rsid w:val="00FD21BF"/>
    <w:rsid w:val="00FD3082"/>
    <w:rsid w:val="00FE216E"/>
    <w:rsid w:val="00FE27CA"/>
    <w:rsid w:val="00FE3D36"/>
    <w:rsid w:val="00FE408C"/>
    <w:rsid w:val="00FE5768"/>
    <w:rsid w:val="00FE6A74"/>
    <w:rsid w:val="00FF2771"/>
    <w:rsid w:val="00FF2AA5"/>
    <w:rsid w:val="00FF2BBD"/>
    <w:rsid w:val="00FF3080"/>
    <w:rsid w:val="00FF39C2"/>
    <w:rsid w:val="00FF418D"/>
    <w:rsid w:val="00FF459E"/>
    <w:rsid w:val="00FF643B"/>
    <w:rsid w:val="00FF6F3D"/>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457150"/>
  <w15:docId w15:val="{B4A3E406-4E95-4F10-AEBF-46E7E0B7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A0B39"/>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0B39"/>
    <w:rPr>
      <w:rFonts w:asciiTheme="majorHAnsi" w:eastAsiaTheme="majorEastAsia" w:hAnsiTheme="majorHAnsi" w:cstheme="majorBidi"/>
      <w:b/>
      <w:bCs/>
      <w:color w:val="2F5496" w:themeColor="accent1" w:themeShade="BF"/>
      <w:sz w:val="28"/>
      <w:szCs w:val="28"/>
    </w:rPr>
  </w:style>
  <w:style w:type="paragraph" w:styleId="a3">
    <w:name w:val="Balloon Text"/>
    <w:basedOn w:val="a"/>
    <w:link w:val="a4"/>
    <w:uiPriority w:val="99"/>
    <w:semiHidden/>
    <w:unhideWhenUsed/>
    <w:rsid w:val="00112F1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112F14"/>
    <w:rPr>
      <w:rFonts w:ascii="Segoe UI" w:hAnsi="Segoe UI" w:cs="Segoe UI"/>
      <w:sz w:val="18"/>
      <w:szCs w:val="18"/>
    </w:rPr>
  </w:style>
  <w:style w:type="paragraph" w:styleId="a5">
    <w:name w:val="List Paragraph"/>
    <w:aliases w:val="Название рисунка"/>
    <w:basedOn w:val="a"/>
    <w:link w:val="a6"/>
    <w:uiPriority w:val="99"/>
    <w:qFormat/>
    <w:rsid w:val="00112F14"/>
    <w:pPr>
      <w:ind w:left="720"/>
      <w:contextualSpacing/>
    </w:pPr>
  </w:style>
  <w:style w:type="paragraph" w:styleId="a7">
    <w:name w:val="header"/>
    <w:basedOn w:val="a"/>
    <w:link w:val="a8"/>
    <w:uiPriority w:val="99"/>
    <w:unhideWhenUsed/>
    <w:rsid w:val="002B0B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B0BC9"/>
  </w:style>
  <w:style w:type="paragraph" w:styleId="a9">
    <w:name w:val="footer"/>
    <w:basedOn w:val="a"/>
    <w:link w:val="aa"/>
    <w:uiPriority w:val="99"/>
    <w:unhideWhenUsed/>
    <w:rsid w:val="002B0B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B0BC9"/>
  </w:style>
  <w:style w:type="paragraph" w:styleId="ab">
    <w:name w:val="footnote text"/>
    <w:aliases w:val="Schriftart: 9 pt,Schriftart: 10 pt,Schriftart: 8 pt,Текст сноски Знак1 Знак,Текст сноски Знак Знак Знак,Footnote Text Char Знак Знак,Footnote Text Char Знак,single spa,Texto de nota al pie,Текст сноски Знак Знак Char Char,Текст сноски-FN"/>
    <w:basedOn w:val="a"/>
    <w:link w:val="ac"/>
    <w:uiPriority w:val="99"/>
    <w:unhideWhenUsed/>
    <w:rsid w:val="002B0BC9"/>
    <w:pPr>
      <w:spacing w:after="0" w:line="240" w:lineRule="auto"/>
    </w:pPr>
    <w:rPr>
      <w:sz w:val="20"/>
      <w:szCs w:val="20"/>
    </w:rPr>
  </w:style>
  <w:style w:type="character" w:customStyle="1" w:styleId="ac">
    <w:name w:val="Текст сноски Знак"/>
    <w:aliases w:val="Schriftart: 9 pt Знак,Schriftart: 10 pt Знак,Schriftart: 8 pt Знак,Текст сноски Знак1 Знак Знак,Текст сноски Знак Знак Знак Знак,Footnote Text Char Знак Знак Знак,Footnote Text Char Знак Знак1,single spa Знак,Texto de nota al pie Знак"/>
    <w:basedOn w:val="a0"/>
    <w:link w:val="ab"/>
    <w:uiPriority w:val="99"/>
    <w:rsid w:val="002B0BC9"/>
    <w:rPr>
      <w:sz w:val="20"/>
      <w:szCs w:val="20"/>
    </w:rPr>
  </w:style>
  <w:style w:type="character" w:styleId="ad">
    <w:name w:val="footnote reference"/>
    <w:aliases w:val="Знак сноски 1,Знак сноски-FN,Ciae niinee-FN,Referencia nota al pie,fr,Used by Word for Help footnote symbols,Ciae niinee 1,зс,number,Footnote reference number,Footnote symbol,note TESI,-E Fußnotenzeichen,SUPERS,Footnote Reference_LVL6,f"/>
    <w:basedOn w:val="a0"/>
    <w:uiPriority w:val="99"/>
    <w:unhideWhenUsed/>
    <w:rsid w:val="002B0BC9"/>
    <w:rPr>
      <w:vertAlign w:val="superscript"/>
    </w:rPr>
  </w:style>
  <w:style w:type="table" w:styleId="ae">
    <w:name w:val="Table Grid"/>
    <w:basedOn w:val="a1"/>
    <w:uiPriority w:val="39"/>
    <w:rsid w:val="002C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415DE5"/>
    <w:rPr>
      <w:color w:val="0563C1" w:themeColor="hyperlink"/>
      <w:u w:val="single"/>
    </w:rPr>
  </w:style>
  <w:style w:type="character" w:customStyle="1" w:styleId="UnresolvedMention1">
    <w:name w:val="Unresolved Mention1"/>
    <w:basedOn w:val="a0"/>
    <w:uiPriority w:val="99"/>
    <w:semiHidden/>
    <w:unhideWhenUsed/>
    <w:qFormat/>
    <w:rsid w:val="00415DE5"/>
    <w:rPr>
      <w:color w:val="605E5C"/>
      <w:shd w:val="clear" w:color="auto" w:fill="E1DFDD"/>
    </w:rPr>
  </w:style>
  <w:style w:type="character" w:styleId="af0">
    <w:name w:val="FollowedHyperlink"/>
    <w:basedOn w:val="a0"/>
    <w:uiPriority w:val="99"/>
    <w:semiHidden/>
    <w:unhideWhenUsed/>
    <w:rsid w:val="0081734F"/>
    <w:rPr>
      <w:color w:val="954F72" w:themeColor="followedHyperlink"/>
      <w:u w:val="single"/>
    </w:rPr>
  </w:style>
  <w:style w:type="character" w:styleId="af1">
    <w:name w:val="page number"/>
    <w:basedOn w:val="a0"/>
    <w:uiPriority w:val="99"/>
    <w:semiHidden/>
    <w:unhideWhenUsed/>
    <w:rsid w:val="000A0B39"/>
  </w:style>
  <w:style w:type="paragraph" w:styleId="2">
    <w:name w:val="Body Text 2"/>
    <w:basedOn w:val="a"/>
    <w:link w:val="20"/>
    <w:uiPriority w:val="99"/>
    <w:unhideWhenUsed/>
    <w:rsid w:val="000A0B39"/>
    <w:pPr>
      <w:spacing w:after="120" w:line="480" w:lineRule="auto"/>
      <w:ind w:firstLine="709"/>
      <w:jc w:val="both"/>
    </w:pPr>
    <w:rPr>
      <w:rFonts w:ascii="Times New Roman" w:hAnsi="Times New Roman"/>
      <w:sz w:val="24"/>
    </w:rPr>
  </w:style>
  <w:style w:type="character" w:customStyle="1" w:styleId="20">
    <w:name w:val="Основной текст 2 Знак"/>
    <w:basedOn w:val="a0"/>
    <w:link w:val="2"/>
    <w:uiPriority w:val="99"/>
    <w:rsid w:val="000A0B39"/>
    <w:rPr>
      <w:rFonts w:ascii="Times New Roman" w:hAnsi="Times New Roman"/>
      <w:sz w:val="24"/>
    </w:rPr>
  </w:style>
  <w:style w:type="paragraph" w:styleId="af2">
    <w:name w:val="Body Text Indent"/>
    <w:basedOn w:val="a"/>
    <w:link w:val="af3"/>
    <w:uiPriority w:val="99"/>
    <w:semiHidden/>
    <w:unhideWhenUsed/>
    <w:rsid w:val="000A0B39"/>
    <w:pPr>
      <w:spacing w:after="120" w:line="240" w:lineRule="auto"/>
      <w:ind w:left="283"/>
    </w:pPr>
    <w:rPr>
      <w:sz w:val="24"/>
      <w:szCs w:val="24"/>
    </w:rPr>
  </w:style>
  <w:style w:type="character" w:customStyle="1" w:styleId="af3">
    <w:name w:val="Основной текст с отступом Знак"/>
    <w:basedOn w:val="a0"/>
    <w:link w:val="af2"/>
    <w:uiPriority w:val="99"/>
    <w:semiHidden/>
    <w:rsid w:val="000A0B39"/>
    <w:rPr>
      <w:sz w:val="24"/>
      <w:szCs w:val="24"/>
    </w:rPr>
  </w:style>
  <w:style w:type="character" w:styleId="af4">
    <w:name w:val="annotation reference"/>
    <w:basedOn w:val="a0"/>
    <w:uiPriority w:val="99"/>
    <w:semiHidden/>
    <w:unhideWhenUsed/>
    <w:rsid w:val="000A0B39"/>
    <w:rPr>
      <w:sz w:val="16"/>
      <w:szCs w:val="16"/>
    </w:rPr>
  </w:style>
  <w:style w:type="paragraph" w:styleId="af5">
    <w:name w:val="annotation text"/>
    <w:basedOn w:val="a"/>
    <w:link w:val="af6"/>
    <w:uiPriority w:val="99"/>
    <w:unhideWhenUsed/>
    <w:rsid w:val="000A0B39"/>
    <w:pPr>
      <w:spacing w:after="0" w:line="240" w:lineRule="auto"/>
    </w:pPr>
    <w:rPr>
      <w:sz w:val="20"/>
      <w:szCs w:val="20"/>
    </w:rPr>
  </w:style>
  <w:style w:type="character" w:customStyle="1" w:styleId="af6">
    <w:name w:val="Текст примечания Знак"/>
    <w:basedOn w:val="a0"/>
    <w:link w:val="af5"/>
    <w:uiPriority w:val="99"/>
    <w:rsid w:val="000A0B39"/>
    <w:rPr>
      <w:sz w:val="20"/>
      <w:szCs w:val="20"/>
    </w:rPr>
  </w:style>
  <w:style w:type="paragraph" w:styleId="af7">
    <w:name w:val="annotation subject"/>
    <w:basedOn w:val="af5"/>
    <w:next w:val="af5"/>
    <w:link w:val="af8"/>
    <w:uiPriority w:val="99"/>
    <w:semiHidden/>
    <w:unhideWhenUsed/>
    <w:rsid w:val="000A0B39"/>
    <w:rPr>
      <w:b/>
      <w:bCs/>
    </w:rPr>
  </w:style>
  <w:style w:type="character" w:customStyle="1" w:styleId="af8">
    <w:name w:val="Тема примечания Знак"/>
    <w:basedOn w:val="af6"/>
    <w:link w:val="af7"/>
    <w:uiPriority w:val="99"/>
    <w:semiHidden/>
    <w:rsid w:val="000A0B39"/>
    <w:rPr>
      <w:b/>
      <w:bCs/>
      <w:sz w:val="20"/>
      <w:szCs w:val="20"/>
    </w:rPr>
  </w:style>
  <w:style w:type="paragraph" w:styleId="af9">
    <w:name w:val="TOC Heading"/>
    <w:basedOn w:val="1"/>
    <w:next w:val="a"/>
    <w:uiPriority w:val="39"/>
    <w:semiHidden/>
    <w:unhideWhenUsed/>
    <w:qFormat/>
    <w:rsid w:val="000A0B39"/>
    <w:pPr>
      <w:spacing w:line="276" w:lineRule="auto"/>
      <w:outlineLvl w:val="9"/>
    </w:pPr>
    <w:rPr>
      <w:lang w:eastAsia="ru-RU"/>
    </w:rPr>
  </w:style>
  <w:style w:type="paragraph" w:styleId="11">
    <w:name w:val="toc 1"/>
    <w:basedOn w:val="a"/>
    <w:next w:val="a"/>
    <w:autoRedefine/>
    <w:uiPriority w:val="39"/>
    <w:unhideWhenUsed/>
    <w:rsid w:val="000A0B39"/>
    <w:pPr>
      <w:spacing w:after="100"/>
    </w:pPr>
  </w:style>
  <w:style w:type="paragraph" w:styleId="afa">
    <w:name w:val="caption"/>
    <w:basedOn w:val="a"/>
    <w:next w:val="a"/>
    <w:uiPriority w:val="99"/>
    <w:qFormat/>
    <w:rsid w:val="00FF459E"/>
    <w:pPr>
      <w:spacing w:after="0" w:line="240" w:lineRule="auto"/>
    </w:pPr>
    <w:rPr>
      <w:rFonts w:ascii="Times New Roman" w:eastAsia="PMingLiU" w:hAnsi="Times New Roman" w:cs="Times New Roman"/>
      <w:b/>
      <w:bCs/>
      <w:sz w:val="20"/>
      <w:szCs w:val="20"/>
      <w:lang w:eastAsia="ru-RU"/>
    </w:rPr>
  </w:style>
  <w:style w:type="character" w:customStyle="1" w:styleId="a6">
    <w:name w:val="Абзац списка Знак"/>
    <w:aliases w:val="Название рисунка Знак"/>
    <w:basedOn w:val="a0"/>
    <w:link w:val="a5"/>
    <w:uiPriority w:val="34"/>
    <w:locked/>
    <w:rsid w:val="00FF459E"/>
  </w:style>
  <w:style w:type="paragraph" w:styleId="afb">
    <w:name w:val="Normal (Web)"/>
    <w:basedOn w:val="a"/>
    <w:uiPriority w:val="99"/>
    <w:rsid w:val="00BF15CC"/>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c">
    <w:name w:val="Body Text"/>
    <w:basedOn w:val="a"/>
    <w:link w:val="afd"/>
    <w:uiPriority w:val="99"/>
    <w:semiHidden/>
    <w:unhideWhenUsed/>
    <w:rsid w:val="00EB4B0F"/>
    <w:pPr>
      <w:spacing w:after="120"/>
    </w:pPr>
  </w:style>
  <w:style w:type="character" w:customStyle="1" w:styleId="afd">
    <w:name w:val="Основной текст Знак"/>
    <w:basedOn w:val="a0"/>
    <w:link w:val="afc"/>
    <w:uiPriority w:val="99"/>
    <w:semiHidden/>
    <w:rsid w:val="00EB4B0F"/>
  </w:style>
  <w:style w:type="paragraph" w:styleId="afe">
    <w:name w:val="Revision"/>
    <w:hidden/>
    <w:uiPriority w:val="99"/>
    <w:semiHidden/>
    <w:rsid w:val="004326FC"/>
    <w:pPr>
      <w:spacing w:after="0" w:line="240" w:lineRule="auto"/>
    </w:pPr>
  </w:style>
  <w:style w:type="character" w:customStyle="1" w:styleId="aff">
    <w:name w:val="Привязка сноски"/>
    <w:rsid w:val="00D86D14"/>
    <w:rPr>
      <w:vertAlign w:val="superscript"/>
    </w:rPr>
  </w:style>
  <w:style w:type="character" w:customStyle="1" w:styleId="aff0">
    <w:name w:val="Символ сноски"/>
    <w:qFormat/>
    <w:rsid w:val="00D86D14"/>
  </w:style>
  <w:style w:type="paragraph" w:customStyle="1" w:styleId="aff1">
    <w:name w:val="Содержимое таблицы"/>
    <w:basedOn w:val="a"/>
    <w:qFormat/>
    <w:rsid w:val="00D86D14"/>
    <w:pPr>
      <w:widowControl w:val="0"/>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79673">
      <w:bodyDiv w:val="1"/>
      <w:marLeft w:val="0"/>
      <w:marRight w:val="0"/>
      <w:marTop w:val="0"/>
      <w:marBottom w:val="0"/>
      <w:divBdr>
        <w:top w:val="none" w:sz="0" w:space="0" w:color="auto"/>
        <w:left w:val="none" w:sz="0" w:space="0" w:color="auto"/>
        <w:bottom w:val="none" w:sz="0" w:space="0" w:color="auto"/>
        <w:right w:val="none" w:sz="0" w:space="0" w:color="auto"/>
      </w:divBdr>
    </w:div>
    <w:div w:id="146439651">
      <w:bodyDiv w:val="1"/>
      <w:marLeft w:val="0"/>
      <w:marRight w:val="0"/>
      <w:marTop w:val="0"/>
      <w:marBottom w:val="0"/>
      <w:divBdr>
        <w:top w:val="none" w:sz="0" w:space="0" w:color="auto"/>
        <w:left w:val="none" w:sz="0" w:space="0" w:color="auto"/>
        <w:bottom w:val="none" w:sz="0" w:space="0" w:color="auto"/>
        <w:right w:val="none" w:sz="0" w:space="0" w:color="auto"/>
      </w:divBdr>
    </w:div>
    <w:div w:id="230695978">
      <w:bodyDiv w:val="1"/>
      <w:marLeft w:val="0"/>
      <w:marRight w:val="0"/>
      <w:marTop w:val="0"/>
      <w:marBottom w:val="0"/>
      <w:divBdr>
        <w:top w:val="none" w:sz="0" w:space="0" w:color="auto"/>
        <w:left w:val="none" w:sz="0" w:space="0" w:color="auto"/>
        <w:bottom w:val="none" w:sz="0" w:space="0" w:color="auto"/>
        <w:right w:val="none" w:sz="0" w:space="0" w:color="auto"/>
      </w:divBdr>
      <w:divsChild>
        <w:div w:id="923800604">
          <w:marLeft w:val="0"/>
          <w:marRight w:val="0"/>
          <w:marTop w:val="0"/>
          <w:marBottom w:val="0"/>
          <w:divBdr>
            <w:top w:val="none" w:sz="0" w:space="0" w:color="auto"/>
            <w:left w:val="none" w:sz="0" w:space="0" w:color="auto"/>
            <w:bottom w:val="none" w:sz="0" w:space="0" w:color="auto"/>
            <w:right w:val="none" w:sz="0" w:space="0" w:color="auto"/>
          </w:divBdr>
        </w:div>
        <w:div w:id="285745425">
          <w:marLeft w:val="0"/>
          <w:marRight w:val="0"/>
          <w:marTop w:val="0"/>
          <w:marBottom w:val="0"/>
          <w:divBdr>
            <w:top w:val="none" w:sz="0" w:space="0" w:color="auto"/>
            <w:left w:val="none" w:sz="0" w:space="0" w:color="auto"/>
            <w:bottom w:val="none" w:sz="0" w:space="0" w:color="auto"/>
            <w:right w:val="none" w:sz="0" w:space="0" w:color="auto"/>
          </w:divBdr>
        </w:div>
        <w:div w:id="750661260">
          <w:marLeft w:val="0"/>
          <w:marRight w:val="0"/>
          <w:marTop w:val="0"/>
          <w:marBottom w:val="0"/>
          <w:divBdr>
            <w:top w:val="none" w:sz="0" w:space="0" w:color="auto"/>
            <w:left w:val="none" w:sz="0" w:space="0" w:color="auto"/>
            <w:bottom w:val="none" w:sz="0" w:space="0" w:color="auto"/>
            <w:right w:val="none" w:sz="0" w:space="0" w:color="auto"/>
          </w:divBdr>
        </w:div>
        <w:div w:id="1319920295">
          <w:marLeft w:val="0"/>
          <w:marRight w:val="0"/>
          <w:marTop w:val="0"/>
          <w:marBottom w:val="0"/>
          <w:divBdr>
            <w:top w:val="none" w:sz="0" w:space="0" w:color="auto"/>
            <w:left w:val="none" w:sz="0" w:space="0" w:color="auto"/>
            <w:bottom w:val="none" w:sz="0" w:space="0" w:color="auto"/>
            <w:right w:val="none" w:sz="0" w:space="0" w:color="auto"/>
          </w:divBdr>
        </w:div>
        <w:div w:id="1416510266">
          <w:marLeft w:val="0"/>
          <w:marRight w:val="0"/>
          <w:marTop w:val="0"/>
          <w:marBottom w:val="0"/>
          <w:divBdr>
            <w:top w:val="none" w:sz="0" w:space="0" w:color="auto"/>
            <w:left w:val="none" w:sz="0" w:space="0" w:color="auto"/>
            <w:bottom w:val="none" w:sz="0" w:space="0" w:color="auto"/>
            <w:right w:val="none" w:sz="0" w:space="0" w:color="auto"/>
          </w:divBdr>
        </w:div>
        <w:div w:id="681127643">
          <w:marLeft w:val="0"/>
          <w:marRight w:val="0"/>
          <w:marTop w:val="0"/>
          <w:marBottom w:val="0"/>
          <w:divBdr>
            <w:top w:val="none" w:sz="0" w:space="0" w:color="auto"/>
            <w:left w:val="none" w:sz="0" w:space="0" w:color="auto"/>
            <w:bottom w:val="none" w:sz="0" w:space="0" w:color="auto"/>
            <w:right w:val="none" w:sz="0" w:space="0" w:color="auto"/>
          </w:divBdr>
        </w:div>
        <w:div w:id="370152208">
          <w:marLeft w:val="0"/>
          <w:marRight w:val="0"/>
          <w:marTop w:val="0"/>
          <w:marBottom w:val="0"/>
          <w:divBdr>
            <w:top w:val="none" w:sz="0" w:space="0" w:color="auto"/>
            <w:left w:val="none" w:sz="0" w:space="0" w:color="auto"/>
            <w:bottom w:val="none" w:sz="0" w:space="0" w:color="auto"/>
            <w:right w:val="none" w:sz="0" w:space="0" w:color="auto"/>
          </w:divBdr>
        </w:div>
        <w:div w:id="1807506856">
          <w:marLeft w:val="0"/>
          <w:marRight w:val="0"/>
          <w:marTop w:val="0"/>
          <w:marBottom w:val="0"/>
          <w:divBdr>
            <w:top w:val="none" w:sz="0" w:space="0" w:color="auto"/>
            <w:left w:val="none" w:sz="0" w:space="0" w:color="auto"/>
            <w:bottom w:val="none" w:sz="0" w:space="0" w:color="auto"/>
            <w:right w:val="none" w:sz="0" w:space="0" w:color="auto"/>
          </w:divBdr>
        </w:div>
      </w:divsChild>
    </w:div>
    <w:div w:id="475532660">
      <w:bodyDiv w:val="1"/>
      <w:marLeft w:val="0"/>
      <w:marRight w:val="0"/>
      <w:marTop w:val="0"/>
      <w:marBottom w:val="0"/>
      <w:divBdr>
        <w:top w:val="none" w:sz="0" w:space="0" w:color="auto"/>
        <w:left w:val="none" w:sz="0" w:space="0" w:color="auto"/>
        <w:bottom w:val="none" w:sz="0" w:space="0" w:color="auto"/>
        <w:right w:val="none" w:sz="0" w:space="0" w:color="auto"/>
      </w:divBdr>
    </w:div>
    <w:div w:id="542713625">
      <w:bodyDiv w:val="1"/>
      <w:marLeft w:val="0"/>
      <w:marRight w:val="0"/>
      <w:marTop w:val="0"/>
      <w:marBottom w:val="0"/>
      <w:divBdr>
        <w:top w:val="none" w:sz="0" w:space="0" w:color="auto"/>
        <w:left w:val="none" w:sz="0" w:space="0" w:color="auto"/>
        <w:bottom w:val="none" w:sz="0" w:space="0" w:color="auto"/>
        <w:right w:val="none" w:sz="0" w:space="0" w:color="auto"/>
      </w:divBdr>
    </w:div>
    <w:div w:id="629089251">
      <w:bodyDiv w:val="1"/>
      <w:marLeft w:val="0"/>
      <w:marRight w:val="0"/>
      <w:marTop w:val="0"/>
      <w:marBottom w:val="0"/>
      <w:divBdr>
        <w:top w:val="none" w:sz="0" w:space="0" w:color="auto"/>
        <w:left w:val="none" w:sz="0" w:space="0" w:color="auto"/>
        <w:bottom w:val="none" w:sz="0" w:space="0" w:color="auto"/>
        <w:right w:val="none" w:sz="0" w:space="0" w:color="auto"/>
      </w:divBdr>
    </w:div>
    <w:div w:id="744842542">
      <w:bodyDiv w:val="1"/>
      <w:marLeft w:val="0"/>
      <w:marRight w:val="0"/>
      <w:marTop w:val="0"/>
      <w:marBottom w:val="0"/>
      <w:divBdr>
        <w:top w:val="none" w:sz="0" w:space="0" w:color="auto"/>
        <w:left w:val="none" w:sz="0" w:space="0" w:color="auto"/>
        <w:bottom w:val="none" w:sz="0" w:space="0" w:color="auto"/>
        <w:right w:val="none" w:sz="0" w:space="0" w:color="auto"/>
      </w:divBdr>
    </w:div>
    <w:div w:id="1021585842">
      <w:bodyDiv w:val="1"/>
      <w:marLeft w:val="0"/>
      <w:marRight w:val="0"/>
      <w:marTop w:val="0"/>
      <w:marBottom w:val="0"/>
      <w:divBdr>
        <w:top w:val="none" w:sz="0" w:space="0" w:color="auto"/>
        <w:left w:val="none" w:sz="0" w:space="0" w:color="auto"/>
        <w:bottom w:val="none" w:sz="0" w:space="0" w:color="auto"/>
        <w:right w:val="none" w:sz="0" w:space="0" w:color="auto"/>
      </w:divBdr>
      <w:divsChild>
        <w:div w:id="22488994">
          <w:marLeft w:val="0"/>
          <w:marRight w:val="0"/>
          <w:marTop w:val="0"/>
          <w:marBottom w:val="300"/>
          <w:divBdr>
            <w:top w:val="none" w:sz="0" w:space="0" w:color="auto"/>
            <w:left w:val="none" w:sz="0" w:space="0" w:color="auto"/>
            <w:bottom w:val="none" w:sz="0" w:space="0" w:color="auto"/>
            <w:right w:val="none" w:sz="0" w:space="0" w:color="auto"/>
          </w:divBdr>
        </w:div>
        <w:div w:id="4330580">
          <w:marLeft w:val="0"/>
          <w:marRight w:val="0"/>
          <w:marTop w:val="0"/>
          <w:marBottom w:val="300"/>
          <w:divBdr>
            <w:top w:val="none" w:sz="0" w:space="0" w:color="auto"/>
            <w:left w:val="none" w:sz="0" w:space="0" w:color="auto"/>
            <w:bottom w:val="none" w:sz="0" w:space="0" w:color="auto"/>
            <w:right w:val="none" w:sz="0" w:space="0" w:color="auto"/>
          </w:divBdr>
        </w:div>
        <w:div w:id="1889534067">
          <w:marLeft w:val="0"/>
          <w:marRight w:val="0"/>
          <w:marTop w:val="0"/>
          <w:marBottom w:val="300"/>
          <w:divBdr>
            <w:top w:val="none" w:sz="0" w:space="0" w:color="auto"/>
            <w:left w:val="none" w:sz="0" w:space="0" w:color="auto"/>
            <w:bottom w:val="none" w:sz="0" w:space="0" w:color="auto"/>
            <w:right w:val="none" w:sz="0" w:space="0" w:color="auto"/>
          </w:divBdr>
        </w:div>
      </w:divsChild>
    </w:div>
    <w:div w:id="1215434827">
      <w:bodyDiv w:val="1"/>
      <w:marLeft w:val="0"/>
      <w:marRight w:val="0"/>
      <w:marTop w:val="0"/>
      <w:marBottom w:val="0"/>
      <w:divBdr>
        <w:top w:val="none" w:sz="0" w:space="0" w:color="auto"/>
        <w:left w:val="none" w:sz="0" w:space="0" w:color="auto"/>
        <w:bottom w:val="none" w:sz="0" w:space="0" w:color="auto"/>
        <w:right w:val="none" w:sz="0" w:space="0" w:color="auto"/>
      </w:divBdr>
    </w:div>
    <w:div w:id="1246575730">
      <w:bodyDiv w:val="1"/>
      <w:marLeft w:val="0"/>
      <w:marRight w:val="0"/>
      <w:marTop w:val="0"/>
      <w:marBottom w:val="0"/>
      <w:divBdr>
        <w:top w:val="none" w:sz="0" w:space="0" w:color="auto"/>
        <w:left w:val="none" w:sz="0" w:space="0" w:color="auto"/>
        <w:bottom w:val="none" w:sz="0" w:space="0" w:color="auto"/>
        <w:right w:val="none" w:sz="0" w:space="0" w:color="auto"/>
      </w:divBdr>
    </w:div>
    <w:div w:id="1458648298">
      <w:bodyDiv w:val="1"/>
      <w:marLeft w:val="0"/>
      <w:marRight w:val="0"/>
      <w:marTop w:val="0"/>
      <w:marBottom w:val="0"/>
      <w:divBdr>
        <w:top w:val="none" w:sz="0" w:space="0" w:color="auto"/>
        <w:left w:val="none" w:sz="0" w:space="0" w:color="auto"/>
        <w:bottom w:val="none" w:sz="0" w:space="0" w:color="auto"/>
        <w:right w:val="none" w:sz="0" w:space="0" w:color="auto"/>
      </w:divBdr>
    </w:div>
    <w:div w:id="1478382232">
      <w:bodyDiv w:val="1"/>
      <w:marLeft w:val="0"/>
      <w:marRight w:val="0"/>
      <w:marTop w:val="0"/>
      <w:marBottom w:val="0"/>
      <w:divBdr>
        <w:top w:val="none" w:sz="0" w:space="0" w:color="auto"/>
        <w:left w:val="none" w:sz="0" w:space="0" w:color="auto"/>
        <w:bottom w:val="none" w:sz="0" w:space="0" w:color="auto"/>
        <w:right w:val="none" w:sz="0" w:space="0" w:color="auto"/>
      </w:divBdr>
    </w:div>
    <w:div w:id="1874879239">
      <w:bodyDiv w:val="1"/>
      <w:marLeft w:val="0"/>
      <w:marRight w:val="0"/>
      <w:marTop w:val="0"/>
      <w:marBottom w:val="0"/>
      <w:divBdr>
        <w:top w:val="none" w:sz="0" w:space="0" w:color="auto"/>
        <w:left w:val="none" w:sz="0" w:space="0" w:color="auto"/>
        <w:bottom w:val="none" w:sz="0" w:space="0" w:color="auto"/>
        <w:right w:val="none" w:sz="0" w:space="0" w:color="auto"/>
      </w:divBdr>
      <w:divsChild>
        <w:div w:id="624698454">
          <w:marLeft w:val="0"/>
          <w:marRight w:val="0"/>
          <w:marTop w:val="0"/>
          <w:marBottom w:val="0"/>
          <w:divBdr>
            <w:top w:val="none" w:sz="0" w:space="0" w:color="auto"/>
            <w:left w:val="none" w:sz="0" w:space="0" w:color="auto"/>
            <w:bottom w:val="none" w:sz="0" w:space="0" w:color="auto"/>
            <w:right w:val="none" w:sz="0" w:space="0" w:color="auto"/>
          </w:divBdr>
        </w:div>
        <w:div w:id="2042436606">
          <w:marLeft w:val="0"/>
          <w:marRight w:val="0"/>
          <w:marTop w:val="0"/>
          <w:marBottom w:val="0"/>
          <w:divBdr>
            <w:top w:val="none" w:sz="0" w:space="0" w:color="auto"/>
            <w:left w:val="none" w:sz="0" w:space="0" w:color="auto"/>
            <w:bottom w:val="none" w:sz="0" w:space="0" w:color="auto"/>
            <w:right w:val="none" w:sz="0" w:space="0" w:color="auto"/>
          </w:divBdr>
        </w:div>
        <w:div w:id="2063358550">
          <w:marLeft w:val="0"/>
          <w:marRight w:val="0"/>
          <w:marTop w:val="0"/>
          <w:marBottom w:val="0"/>
          <w:divBdr>
            <w:top w:val="none" w:sz="0" w:space="0" w:color="auto"/>
            <w:left w:val="none" w:sz="0" w:space="0" w:color="auto"/>
            <w:bottom w:val="none" w:sz="0" w:space="0" w:color="auto"/>
            <w:right w:val="none" w:sz="0" w:space="0" w:color="auto"/>
          </w:divBdr>
        </w:div>
        <w:div w:id="837114883">
          <w:marLeft w:val="0"/>
          <w:marRight w:val="0"/>
          <w:marTop w:val="0"/>
          <w:marBottom w:val="0"/>
          <w:divBdr>
            <w:top w:val="none" w:sz="0" w:space="0" w:color="auto"/>
            <w:left w:val="none" w:sz="0" w:space="0" w:color="auto"/>
            <w:bottom w:val="none" w:sz="0" w:space="0" w:color="auto"/>
            <w:right w:val="none" w:sz="0" w:space="0" w:color="auto"/>
          </w:divBdr>
        </w:div>
        <w:div w:id="1978610576">
          <w:marLeft w:val="0"/>
          <w:marRight w:val="0"/>
          <w:marTop w:val="0"/>
          <w:marBottom w:val="0"/>
          <w:divBdr>
            <w:top w:val="none" w:sz="0" w:space="0" w:color="auto"/>
            <w:left w:val="none" w:sz="0" w:space="0" w:color="auto"/>
            <w:bottom w:val="none" w:sz="0" w:space="0" w:color="auto"/>
            <w:right w:val="none" w:sz="0" w:space="0" w:color="auto"/>
          </w:divBdr>
        </w:div>
        <w:div w:id="641498611">
          <w:marLeft w:val="0"/>
          <w:marRight w:val="0"/>
          <w:marTop w:val="0"/>
          <w:marBottom w:val="0"/>
          <w:divBdr>
            <w:top w:val="none" w:sz="0" w:space="0" w:color="auto"/>
            <w:left w:val="none" w:sz="0" w:space="0" w:color="auto"/>
            <w:bottom w:val="none" w:sz="0" w:space="0" w:color="auto"/>
            <w:right w:val="none" w:sz="0" w:space="0" w:color="auto"/>
          </w:divBdr>
        </w:div>
        <w:div w:id="1984889663">
          <w:marLeft w:val="0"/>
          <w:marRight w:val="0"/>
          <w:marTop w:val="0"/>
          <w:marBottom w:val="0"/>
          <w:divBdr>
            <w:top w:val="none" w:sz="0" w:space="0" w:color="auto"/>
            <w:left w:val="none" w:sz="0" w:space="0" w:color="auto"/>
            <w:bottom w:val="none" w:sz="0" w:space="0" w:color="auto"/>
            <w:right w:val="none" w:sz="0" w:space="0" w:color="auto"/>
          </w:divBdr>
        </w:div>
        <w:div w:id="481847089">
          <w:marLeft w:val="0"/>
          <w:marRight w:val="0"/>
          <w:marTop w:val="0"/>
          <w:marBottom w:val="0"/>
          <w:divBdr>
            <w:top w:val="none" w:sz="0" w:space="0" w:color="auto"/>
            <w:left w:val="none" w:sz="0" w:space="0" w:color="auto"/>
            <w:bottom w:val="none" w:sz="0" w:space="0" w:color="auto"/>
            <w:right w:val="none" w:sz="0" w:space="0" w:color="auto"/>
          </w:divBdr>
        </w:div>
        <w:div w:id="1927886428">
          <w:marLeft w:val="0"/>
          <w:marRight w:val="0"/>
          <w:marTop w:val="0"/>
          <w:marBottom w:val="0"/>
          <w:divBdr>
            <w:top w:val="none" w:sz="0" w:space="0" w:color="auto"/>
            <w:left w:val="none" w:sz="0" w:space="0" w:color="auto"/>
            <w:bottom w:val="none" w:sz="0" w:space="0" w:color="auto"/>
            <w:right w:val="none" w:sz="0" w:space="0" w:color="auto"/>
          </w:divBdr>
        </w:div>
        <w:div w:id="2007392346">
          <w:marLeft w:val="0"/>
          <w:marRight w:val="0"/>
          <w:marTop w:val="0"/>
          <w:marBottom w:val="0"/>
          <w:divBdr>
            <w:top w:val="none" w:sz="0" w:space="0" w:color="auto"/>
            <w:left w:val="none" w:sz="0" w:space="0" w:color="auto"/>
            <w:bottom w:val="none" w:sz="0" w:space="0" w:color="auto"/>
            <w:right w:val="none" w:sz="0" w:space="0" w:color="auto"/>
          </w:divBdr>
        </w:div>
        <w:div w:id="2141800781">
          <w:marLeft w:val="0"/>
          <w:marRight w:val="0"/>
          <w:marTop w:val="0"/>
          <w:marBottom w:val="0"/>
          <w:divBdr>
            <w:top w:val="none" w:sz="0" w:space="0" w:color="auto"/>
            <w:left w:val="none" w:sz="0" w:space="0" w:color="auto"/>
            <w:bottom w:val="none" w:sz="0" w:space="0" w:color="auto"/>
            <w:right w:val="none" w:sz="0" w:space="0" w:color="auto"/>
          </w:divBdr>
        </w:div>
        <w:div w:id="533428098">
          <w:marLeft w:val="0"/>
          <w:marRight w:val="0"/>
          <w:marTop w:val="0"/>
          <w:marBottom w:val="0"/>
          <w:divBdr>
            <w:top w:val="none" w:sz="0" w:space="0" w:color="auto"/>
            <w:left w:val="none" w:sz="0" w:space="0" w:color="auto"/>
            <w:bottom w:val="none" w:sz="0" w:space="0" w:color="auto"/>
            <w:right w:val="none" w:sz="0" w:space="0" w:color="auto"/>
          </w:divBdr>
        </w:div>
        <w:div w:id="1323697482">
          <w:marLeft w:val="0"/>
          <w:marRight w:val="0"/>
          <w:marTop w:val="0"/>
          <w:marBottom w:val="0"/>
          <w:divBdr>
            <w:top w:val="none" w:sz="0" w:space="0" w:color="auto"/>
            <w:left w:val="none" w:sz="0" w:space="0" w:color="auto"/>
            <w:bottom w:val="none" w:sz="0" w:space="0" w:color="auto"/>
            <w:right w:val="none" w:sz="0" w:space="0" w:color="auto"/>
          </w:divBdr>
        </w:div>
        <w:div w:id="1684282229">
          <w:marLeft w:val="0"/>
          <w:marRight w:val="0"/>
          <w:marTop w:val="0"/>
          <w:marBottom w:val="0"/>
          <w:divBdr>
            <w:top w:val="none" w:sz="0" w:space="0" w:color="auto"/>
            <w:left w:val="none" w:sz="0" w:space="0" w:color="auto"/>
            <w:bottom w:val="none" w:sz="0" w:space="0" w:color="auto"/>
            <w:right w:val="none" w:sz="0" w:space="0" w:color="auto"/>
          </w:divBdr>
        </w:div>
        <w:div w:id="1846047876">
          <w:marLeft w:val="0"/>
          <w:marRight w:val="0"/>
          <w:marTop w:val="0"/>
          <w:marBottom w:val="0"/>
          <w:divBdr>
            <w:top w:val="none" w:sz="0" w:space="0" w:color="auto"/>
            <w:left w:val="none" w:sz="0" w:space="0" w:color="auto"/>
            <w:bottom w:val="none" w:sz="0" w:space="0" w:color="auto"/>
            <w:right w:val="none" w:sz="0" w:space="0" w:color="auto"/>
          </w:divBdr>
        </w:div>
        <w:div w:id="603810413">
          <w:marLeft w:val="0"/>
          <w:marRight w:val="0"/>
          <w:marTop w:val="0"/>
          <w:marBottom w:val="0"/>
          <w:divBdr>
            <w:top w:val="none" w:sz="0" w:space="0" w:color="auto"/>
            <w:left w:val="none" w:sz="0" w:space="0" w:color="auto"/>
            <w:bottom w:val="none" w:sz="0" w:space="0" w:color="auto"/>
            <w:right w:val="none" w:sz="0" w:space="0" w:color="auto"/>
          </w:divBdr>
        </w:div>
        <w:div w:id="1850951654">
          <w:marLeft w:val="0"/>
          <w:marRight w:val="0"/>
          <w:marTop w:val="0"/>
          <w:marBottom w:val="0"/>
          <w:divBdr>
            <w:top w:val="none" w:sz="0" w:space="0" w:color="auto"/>
            <w:left w:val="none" w:sz="0" w:space="0" w:color="auto"/>
            <w:bottom w:val="none" w:sz="0" w:space="0" w:color="auto"/>
            <w:right w:val="none" w:sz="0" w:space="0" w:color="auto"/>
          </w:divBdr>
        </w:div>
        <w:div w:id="1881893700">
          <w:marLeft w:val="0"/>
          <w:marRight w:val="0"/>
          <w:marTop w:val="0"/>
          <w:marBottom w:val="0"/>
          <w:divBdr>
            <w:top w:val="none" w:sz="0" w:space="0" w:color="auto"/>
            <w:left w:val="none" w:sz="0" w:space="0" w:color="auto"/>
            <w:bottom w:val="none" w:sz="0" w:space="0" w:color="auto"/>
            <w:right w:val="none" w:sz="0" w:space="0" w:color="auto"/>
          </w:divBdr>
        </w:div>
        <w:div w:id="1094932385">
          <w:marLeft w:val="0"/>
          <w:marRight w:val="0"/>
          <w:marTop w:val="0"/>
          <w:marBottom w:val="0"/>
          <w:divBdr>
            <w:top w:val="none" w:sz="0" w:space="0" w:color="auto"/>
            <w:left w:val="none" w:sz="0" w:space="0" w:color="auto"/>
            <w:bottom w:val="none" w:sz="0" w:space="0" w:color="auto"/>
            <w:right w:val="none" w:sz="0" w:space="0" w:color="auto"/>
          </w:divBdr>
        </w:div>
        <w:div w:id="1434208182">
          <w:marLeft w:val="0"/>
          <w:marRight w:val="0"/>
          <w:marTop w:val="0"/>
          <w:marBottom w:val="0"/>
          <w:divBdr>
            <w:top w:val="none" w:sz="0" w:space="0" w:color="auto"/>
            <w:left w:val="none" w:sz="0" w:space="0" w:color="auto"/>
            <w:bottom w:val="none" w:sz="0" w:space="0" w:color="auto"/>
            <w:right w:val="none" w:sz="0" w:space="0" w:color="auto"/>
          </w:divBdr>
        </w:div>
        <w:div w:id="611978541">
          <w:marLeft w:val="0"/>
          <w:marRight w:val="0"/>
          <w:marTop w:val="0"/>
          <w:marBottom w:val="0"/>
          <w:divBdr>
            <w:top w:val="none" w:sz="0" w:space="0" w:color="auto"/>
            <w:left w:val="none" w:sz="0" w:space="0" w:color="auto"/>
            <w:bottom w:val="none" w:sz="0" w:space="0" w:color="auto"/>
            <w:right w:val="none" w:sz="0" w:space="0" w:color="auto"/>
          </w:divBdr>
        </w:div>
        <w:div w:id="2128964399">
          <w:marLeft w:val="0"/>
          <w:marRight w:val="0"/>
          <w:marTop w:val="0"/>
          <w:marBottom w:val="0"/>
          <w:divBdr>
            <w:top w:val="none" w:sz="0" w:space="0" w:color="auto"/>
            <w:left w:val="none" w:sz="0" w:space="0" w:color="auto"/>
            <w:bottom w:val="none" w:sz="0" w:space="0" w:color="auto"/>
            <w:right w:val="none" w:sz="0" w:space="0" w:color="auto"/>
          </w:divBdr>
        </w:div>
        <w:div w:id="131413055">
          <w:marLeft w:val="0"/>
          <w:marRight w:val="0"/>
          <w:marTop w:val="0"/>
          <w:marBottom w:val="0"/>
          <w:divBdr>
            <w:top w:val="none" w:sz="0" w:space="0" w:color="auto"/>
            <w:left w:val="none" w:sz="0" w:space="0" w:color="auto"/>
            <w:bottom w:val="none" w:sz="0" w:space="0" w:color="auto"/>
            <w:right w:val="none" w:sz="0" w:space="0" w:color="auto"/>
          </w:divBdr>
        </w:div>
        <w:div w:id="1673296977">
          <w:marLeft w:val="0"/>
          <w:marRight w:val="0"/>
          <w:marTop w:val="0"/>
          <w:marBottom w:val="0"/>
          <w:divBdr>
            <w:top w:val="none" w:sz="0" w:space="0" w:color="auto"/>
            <w:left w:val="none" w:sz="0" w:space="0" w:color="auto"/>
            <w:bottom w:val="none" w:sz="0" w:space="0" w:color="auto"/>
            <w:right w:val="none" w:sz="0" w:space="0" w:color="auto"/>
          </w:divBdr>
        </w:div>
        <w:div w:id="1705862888">
          <w:marLeft w:val="0"/>
          <w:marRight w:val="0"/>
          <w:marTop w:val="0"/>
          <w:marBottom w:val="0"/>
          <w:divBdr>
            <w:top w:val="none" w:sz="0" w:space="0" w:color="auto"/>
            <w:left w:val="none" w:sz="0" w:space="0" w:color="auto"/>
            <w:bottom w:val="none" w:sz="0" w:space="0" w:color="auto"/>
            <w:right w:val="none" w:sz="0" w:space="0" w:color="auto"/>
          </w:divBdr>
        </w:div>
      </w:divsChild>
    </w:div>
    <w:div w:id="1948152992">
      <w:bodyDiv w:val="1"/>
      <w:marLeft w:val="0"/>
      <w:marRight w:val="0"/>
      <w:marTop w:val="0"/>
      <w:marBottom w:val="0"/>
      <w:divBdr>
        <w:top w:val="none" w:sz="0" w:space="0" w:color="auto"/>
        <w:left w:val="none" w:sz="0" w:space="0" w:color="auto"/>
        <w:bottom w:val="none" w:sz="0" w:space="0" w:color="auto"/>
        <w:right w:val="none" w:sz="0" w:space="0" w:color="auto"/>
      </w:divBdr>
      <w:divsChild>
        <w:div w:id="1930310384">
          <w:marLeft w:val="0"/>
          <w:marRight w:val="0"/>
          <w:marTop w:val="0"/>
          <w:marBottom w:val="0"/>
          <w:divBdr>
            <w:top w:val="none" w:sz="0" w:space="0" w:color="auto"/>
            <w:left w:val="none" w:sz="0" w:space="0" w:color="auto"/>
            <w:bottom w:val="none" w:sz="0" w:space="0" w:color="auto"/>
            <w:right w:val="none" w:sz="0" w:space="0" w:color="auto"/>
          </w:divBdr>
        </w:div>
        <w:div w:id="875850689">
          <w:marLeft w:val="0"/>
          <w:marRight w:val="0"/>
          <w:marTop w:val="0"/>
          <w:marBottom w:val="0"/>
          <w:divBdr>
            <w:top w:val="none" w:sz="0" w:space="0" w:color="auto"/>
            <w:left w:val="none" w:sz="0" w:space="0" w:color="auto"/>
            <w:bottom w:val="none" w:sz="0" w:space="0" w:color="auto"/>
            <w:right w:val="none" w:sz="0" w:space="0" w:color="auto"/>
          </w:divBdr>
        </w:div>
        <w:div w:id="26024658">
          <w:marLeft w:val="0"/>
          <w:marRight w:val="0"/>
          <w:marTop w:val="0"/>
          <w:marBottom w:val="0"/>
          <w:divBdr>
            <w:top w:val="none" w:sz="0" w:space="0" w:color="auto"/>
            <w:left w:val="none" w:sz="0" w:space="0" w:color="auto"/>
            <w:bottom w:val="none" w:sz="0" w:space="0" w:color="auto"/>
            <w:right w:val="none" w:sz="0" w:space="0" w:color="auto"/>
          </w:divBdr>
        </w:div>
        <w:div w:id="1973438727">
          <w:marLeft w:val="0"/>
          <w:marRight w:val="0"/>
          <w:marTop w:val="0"/>
          <w:marBottom w:val="0"/>
          <w:divBdr>
            <w:top w:val="none" w:sz="0" w:space="0" w:color="auto"/>
            <w:left w:val="none" w:sz="0" w:space="0" w:color="auto"/>
            <w:bottom w:val="none" w:sz="0" w:space="0" w:color="auto"/>
            <w:right w:val="none" w:sz="0" w:space="0" w:color="auto"/>
          </w:divBdr>
        </w:div>
        <w:div w:id="860166766">
          <w:marLeft w:val="0"/>
          <w:marRight w:val="0"/>
          <w:marTop w:val="0"/>
          <w:marBottom w:val="0"/>
          <w:divBdr>
            <w:top w:val="none" w:sz="0" w:space="0" w:color="auto"/>
            <w:left w:val="none" w:sz="0" w:space="0" w:color="auto"/>
            <w:bottom w:val="none" w:sz="0" w:space="0" w:color="auto"/>
            <w:right w:val="none" w:sz="0" w:space="0" w:color="auto"/>
          </w:divBdr>
        </w:div>
        <w:div w:id="2065718185">
          <w:marLeft w:val="0"/>
          <w:marRight w:val="0"/>
          <w:marTop w:val="0"/>
          <w:marBottom w:val="0"/>
          <w:divBdr>
            <w:top w:val="none" w:sz="0" w:space="0" w:color="auto"/>
            <w:left w:val="none" w:sz="0" w:space="0" w:color="auto"/>
            <w:bottom w:val="none" w:sz="0" w:space="0" w:color="auto"/>
            <w:right w:val="none" w:sz="0" w:space="0" w:color="auto"/>
          </w:divBdr>
        </w:div>
        <w:div w:id="200095557">
          <w:marLeft w:val="0"/>
          <w:marRight w:val="0"/>
          <w:marTop w:val="0"/>
          <w:marBottom w:val="0"/>
          <w:divBdr>
            <w:top w:val="none" w:sz="0" w:space="0" w:color="auto"/>
            <w:left w:val="none" w:sz="0" w:space="0" w:color="auto"/>
            <w:bottom w:val="none" w:sz="0" w:space="0" w:color="auto"/>
            <w:right w:val="none" w:sz="0" w:space="0" w:color="auto"/>
          </w:divBdr>
        </w:div>
        <w:div w:id="1649167461">
          <w:marLeft w:val="0"/>
          <w:marRight w:val="0"/>
          <w:marTop w:val="0"/>
          <w:marBottom w:val="0"/>
          <w:divBdr>
            <w:top w:val="none" w:sz="0" w:space="0" w:color="auto"/>
            <w:left w:val="none" w:sz="0" w:space="0" w:color="auto"/>
            <w:bottom w:val="none" w:sz="0" w:space="0" w:color="auto"/>
            <w:right w:val="none" w:sz="0" w:space="0" w:color="auto"/>
          </w:divBdr>
        </w:div>
        <w:div w:id="1854568339">
          <w:marLeft w:val="0"/>
          <w:marRight w:val="0"/>
          <w:marTop w:val="0"/>
          <w:marBottom w:val="0"/>
          <w:divBdr>
            <w:top w:val="none" w:sz="0" w:space="0" w:color="auto"/>
            <w:left w:val="none" w:sz="0" w:space="0" w:color="auto"/>
            <w:bottom w:val="none" w:sz="0" w:space="0" w:color="auto"/>
            <w:right w:val="none" w:sz="0" w:space="0" w:color="auto"/>
          </w:divBdr>
        </w:div>
        <w:div w:id="2132045194">
          <w:marLeft w:val="0"/>
          <w:marRight w:val="0"/>
          <w:marTop w:val="0"/>
          <w:marBottom w:val="0"/>
          <w:divBdr>
            <w:top w:val="none" w:sz="0" w:space="0" w:color="auto"/>
            <w:left w:val="none" w:sz="0" w:space="0" w:color="auto"/>
            <w:bottom w:val="none" w:sz="0" w:space="0" w:color="auto"/>
            <w:right w:val="none" w:sz="0" w:space="0" w:color="auto"/>
          </w:divBdr>
        </w:div>
        <w:div w:id="2017802349">
          <w:marLeft w:val="0"/>
          <w:marRight w:val="0"/>
          <w:marTop w:val="0"/>
          <w:marBottom w:val="0"/>
          <w:divBdr>
            <w:top w:val="none" w:sz="0" w:space="0" w:color="auto"/>
            <w:left w:val="none" w:sz="0" w:space="0" w:color="auto"/>
            <w:bottom w:val="none" w:sz="0" w:space="0" w:color="auto"/>
            <w:right w:val="none" w:sz="0" w:space="0" w:color="auto"/>
          </w:divBdr>
        </w:div>
        <w:div w:id="1381057064">
          <w:marLeft w:val="0"/>
          <w:marRight w:val="0"/>
          <w:marTop w:val="0"/>
          <w:marBottom w:val="0"/>
          <w:divBdr>
            <w:top w:val="none" w:sz="0" w:space="0" w:color="auto"/>
            <w:left w:val="none" w:sz="0" w:space="0" w:color="auto"/>
            <w:bottom w:val="none" w:sz="0" w:space="0" w:color="auto"/>
            <w:right w:val="none" w:sz="0" w:space="0" w:color="auto"/>
          </w:divBdr>
        </w:div>
        <w:div w:id="122232817">
          <w:marLeft w:val="0"/>
          <w:marRight w:val="0"/>
          <w:marTop w:val="0"/>
          <w:marBottom w:val="0"/>
          <w:divBdr>
            <w:top w:val="none" w:sz="0" w:space="0" w:color="auto"/>
            <w:left w:val="none" w:sz="0" w:space="0" w:color="auto"/>
            <w:bottom w:val="none" w:sz="0" w:space="0" w:color="auto"/>
            <w:right w:val="none" w:sz="0" w:space="0" w:color="auto"/>
          </w:divBdr>
        </w:div>
        <w:div w:id="1992900616">
          <w:marLeft w:val="0"/>
          <w:marRight w:val="0"/>
          <w:marTop w:val="0"/>
          <w:marBottom w:val="0"/>
          <w:divBdr>
            <w:top w:val="none" w:sz="0" w:space="0" w:color="auto"/>
            <w:left w:val="none" w:sz="0" w:space="0" w:color="auto"/>
            <w:bottom w:val="none" w:sz="0" w:space="0" w:color="auto"/>
            <w:right w:val="none" w:sz="0" w:space="0" w:color="auto"/>
          </w:divBdr>
        </w:div>
        <w:div w:id="213080064">
          <w:marLeft w:val="0"/>
          <w:marRight w:val="0"/>
          <w:marTop w:val="0"/>
          <w:marBottom w:val="0"/>
          <w:divBdr>
            <w:top w:val="none" w:sz="0" w:space="0" w:color="auto"/>
            <w:left w:val="none" w:sz="0" w:space="0" w:color="auto"/>
            <w:bottom w:val="none" w:sz="0" w:space="0" w:color="auto"/>
            <w:right w:val="none" w:sz="0" w:space="0" w:color="auto"/>
          </w:divBdr>
        </w:div>
        <w:div w:id="484977620">
          <w:marLeft w:val="0"/>
          <w:marRight w:val="0"/>
          <w:marTop w:val="0"/>
          <w:marBottom w:val="0"/>
          <w:divBdr>
            <w:top w:val="none" w:sz="0" w:space="0" w:color="auto"/>
            <w:left w:val="none" w:sz="0" w:space="0" w:color="auto"/>
            <w:bottom w:val="none" w:sz="0" w:space="0" w:color="auto"/>
            <w:right w:val="none" w:sz="0" w:space="0" w:color="auto"/>
          </w:divBdr>
        </w:div>
      </w:divsChild>
    </w:div>
    <w:div w:id="2008243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chart" Target="charts/chart10.xml"/><Relationship Id="rId39" Type="http://schemas.openxmlformats.org/officeDocument/2006/relationships/fontTable" Target="fontTable.xml"/><Relationship Id="rId21" Type="http://schemas.openxmlformats.org/officeDocument/2006/relationships/chart" Target="charts/chart5.xml"/><Relationship Id="rId34" Type="http://schemas.openxmlformats.org/officeDocument/2006/relationships/chart" Target="charts/chart1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20.xml"/><Relationship Id="rId10" Type="http://schemas.openxmlformats.org/officeDocument/2006/relationships/image" Target="media/image1.jpeg"/><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package" Target="embeddings/Microsoft_Excel_Worksheet.xlsx"/><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9.xml"/><Relationship Id="rId8" Type="http://schemas.openxmlformats.org/officeDocument/2006/relationships/chart" Target="charts/chart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kremlin.ru/acts/bank/45726" TargetMode="External"/><Relationship Id="rId3" Type="http://schemas.openxmlformats.org/officeDocument/2006/relationships/hyperlink" Target="https://data.oecd.org/" TargetMode="External"/><Relationship Id="rId7" Type="http://schemas.openxmlformats.org/officeDocument/2006/relationships/hyperlink" Target="https://www.rbc.ru/finances/30/07/2020/5f1d61749a79473d03326e88" TargetMode="External"/><Relationship Id="rId2" Type="http://schemas.openxmlformats.org/officeDocument/2006/relationships/hyperlink" Target="http://roskazna.ru/ispolnenie-byudzhetov/konsolidirovannyj-byudzhet/" TargetMode="External"/><Relationship Id="rId1" Type="http://schemas.openxmlformats.org/officeDocument/2006/relationships/hyperlink" Target="http://hdr.undp.org/en/2020-report" TargetMode="External"/><Relationship Id="rId6" Type="http://schemas.openxmlformats.org/officeDocument/2006/relationships/hyperlink" Target="https://romir.ru/studies/subsidii-ot-gosudarstva-rossiyane-potratili-na-podarki-detyam" TargetMode="External"/><Relationship Id="rId5" Type="http://schemas.openxmlformats.org/officeDocument/2006/relationships/hyperlink" Target="https://www.1tv.ru/shows/pozner/vypuski/gost-tatyana-golikova-pozner-vypusk-ot-28-12-2020" TargetMode="External"/><Relationship Id="rId4" Type="http://schemas.openxmlformats.org/officeDocument/2006/relationships/hyperlink" Target="https://expert.ru/expert/2019/36/retsept-oblomova-menshe-rabotaesh---luchshe-zhivesh/" TargetMode="External"/><Relationship Id="rId9" Type="http://schemas.openxmlformats.org/officeDocument/2006/relationships/hyperlink" Target="https://ec.europa.eu/eurostat/web/products-datasets/-/DEMO_R_D2JAN"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hir\Downloads\&#1055;&#1072;&#1088;&#1072;&#1076;&#1086;&#1082;&#1089;%20&#1088;&#1086;&#1089;&#1089;&#1080;&#1081;&#1089;&#1082;&#1086;&#1075;&#1086;%20&#1087;&#1086;&#1090;&#1088;&#1077;&#1073;&#1083;&#1077;&#1085;&#1080;&#1103;_&#1043;&#1088;&#1072;&#1092;&#1080;&#1082;&#1080;%20&#1080;%20&#1090;&#1072;&#1073;&#1083;&#1080;&#1094;&#109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ttps://d.docs.live.net/0cb96945d08fd1d4/&#1044;&#1086;&#1082;&#1091;&#1084;&#1077;&#1085;&#1090;&#1099;/data%20(42)%20(version%201).xlsb.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1" Type="http://schemas.openxmlformats.org/officeDocument/2006/relationships/oleObject" Target="file:///D:\&#1045;&#1076;&#1080;&#1085;&#1072;&#1082;\Baza\&#1056;&#1077;&#1075;&#1080;&#1086;&#1085;&#1099;\&#1056;&#1072;&#1079;&#1076;&#1077;&#1083;&#1099;\2.Migration.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5;&#1076;&#1080;&#1085;&#1072;&#1082;\Baza\&#1056;&#1077;&#1075;&#1080;&#1086;&#1085;&#1099;\&#1056;&#1072;&#1079;&#1076;&#1077;&#1083;&#1099;\2.Migration.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5;&#1076;&#1080;&#1085;&#1072;&#1082;\Baza\&#1056;&#1077;&#1075;&#1080;&#1086;&#1085;&#1099;\&#1056;&#1072;&#1079;&#1076;&#1077;&#1083;&#1099;\2.Migration.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Ispol\Edinak\&#1048;&#1053;&#1055;%20&#1056;&#1040;&#1053;\&#1055;&#1080;&#1089;&#1072;&#1083;&#1082;&#1080;\1_Publ\2021\&#1057;&#1086;&#1094;_&#1073;&#1102;&#1083;&#1083;&#1077;&#1090;&#1077;&#1085;&#1100;\OLD\&#1056;&#1080;&#1089;.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Ispol\Edinak\&#1048;&#1053;&#1055;%20&#1056;&#1040;&#1053;\&#1055;&#1080;&#1089;&#1072;&#1083;&#1082;&#1080;\1_Publ\2021\&#1057;&#1086;&#1094;_&#1073;&#1102;&#1083;&#1083;&#1077;&#1090;&#1077;&#1085;&#1100;\&#1056;&#1080;&#1089;.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Ispol\Edinak\&#1048;&#1053;&#1055;%20&#1056;&#1040;&#1053;\&#1055;&#1080;&#1089;&#1072;&#1083;&#1082;&#1080;\1_Publ\2021\&#1057;&#1086;&#1094;_&#1073;&#1102;&#1083;&#1083;&#1077;&#1090;&#1077;&#1085;&#1100;\&#1056;&#1080;&#1089;.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Work\&#1048;&#1053;&#1055;%20&#1056;&#1040;&#1053;\&#1055;&#1080;&#1089;&#1072;&#1083;&#1082;&#1080;\1_Publ\2019\&#1060;&#1080;&#1085;&#1040;&#1082;&#1072;&#1076;&#1077;&#1084;&#1080;&#1103;\&#1053;&#1086;&#1103;&#1073;&#1088;&#1100;\Empl_mig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Ispol\Edinak\&#1048;&#1053;&#1055;%20&#1056;&#1040;&#1053;\&#1055;&#1080;&#1089;&#1072;&#1083;&#1082;&#1080;\1_Publ\2021\&#1057;&#1086;&#1094;_&#1073;&#1102;&#1083;&#1083;&#1077;&#1090;&#1077;&#1085;&#1100;\OLD\&#1056;&#1080;&#108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chir\Downloads\&#1056;&#1086;&#1089;_&#1040;&#1085;&#1072;&#1083;&#1080;&#1079;%20(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0cb96945d08fd1d4/&#1044;&#1086;&#1082;&#1091;&#1084;&#1077;&#1085;&#1090;&#1099;/&#1044;&#1072;&#1085;&#1085;&#1099;&#1077;1.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0cb96945d08fd1d4/&#1044;&#1086;&#1082;&#1091;&#1084;&#1077;&#1085;&#1090;&#1099;/&#1058;&#1072;&#1073;&#1083;&#1080;&#1094;&#1072;%203.3%20(1).xlsx"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1" Type="http://schemas.openxmlformats.org/officeDocument/2006/relationships/oleObject" Target="https://d.docs.live.net/0cb96945d08fd1d4/&#1044;&#1086;&#1082;&#1091;&#1084;&#1077;&#1085;&#1090;&#1099;/&#1052;&#1054;&#104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'Рис. 1'!$A$29</c:f>
              <c:strCache>
                <c:ptCount val="1"/>
                <c:pt idx="0">
                  <c:v>ВВП</c:v>
                </c:pt>
              </c:strCache>
            </c:strRef>
          </c:tx>
          <c:marker>
            <c:symbol val="none"/>
          </c:marker>
          <c:cat>
            <c:numRef>
              <c:f>'Рис. 1'!$B$28:$AF$28</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'Рис. 1'!$B$29:$AF$29</c:f>
              <c:numCache>
                <c:formatCode>0.00</c:formatCode>
                <c:ptCount val="31"/>
                <c:pt idx="0">
                  <c:v>1</c:v>
                </c:pt>
                <c:pt idx="1">
                  <c:v>0.95262027039520003</c:v>
                </c:pt>
                <c:pt idx="2">
                  <c:v>0.75638049469378887</c:v>
                </c:pt>
                <c:pt idx="3">
                  <c:v>0.69057539165542925</c:v>
                </c:pt>
                <c:pt idx="4">
                  <c:v>0.60287231691518961</c:v>
                </c:pt>
                <c:pt idx="5">
                  <c:v>0.57815455192166676</c:v>
                </c:pt>
                <c:pt idx="6">
                  <c:v>0.55729609175369899</c:v>
                </c:pt>
                <c:pt idx="7">
                  <c:v>0.56499315490059387</c:v>
                </c:pt>
                <c:pt idx="8">
                  <c:v>0.53479504106445819</c:v>
                </c:pt>
                <c:pt idx="9">
                  <c:v>0.5687604067388522</c:v>
                </c:pt>
                <c:pt idx="10">
                  <c:v>0.62563682743423343</c:v>
                </c:pt>
                <c:pt idx="11">
                  <c:v>0.65754462611675901</c:v>
                </c:pt>
                <c:pt idx="12">
                  <c:v>0.68844917034143094</c:v>
                </c:pt>
                <c:pt idx="13">
                  <c:v>0.73870563169285619</c:v>
                </c:pt>
                <c:pt idx="14">
                  <c:v>0.7918920520860967</c:v>
                </c:pt>
                <c:pt idx="15">
                  <c:v>0.84257286980479862</c:v>
                </c:pt>
                <c:pt idx="16">
                  <c:v>0.91166442022651317</c:v>
                </c:pt>
                <c:pt idx="17">
                  <c:v>0.98915569326883046</c:v>
                </c:pt>
                <c:pt idx="18">
                  <c:v>1.0405914853026008</c:v>
                </c:pt>
                <c:pt idx="19">
                  <c:v>0.95942541278504656</c:v>
                </c:pt>
                <c:pt idx="20">
                  <c:v>1.002599556360513</c:v>
                </c:pt>
                <c:pt idx="21">
                  <c:v>1.0457116299006</c:v>
                </c:pt>
                <c:pt idx="22">
                  <c:v>1.0844035568391492</c:v>
                </c:pt>
                <c:pt idx="23">
                  <c:v>1.1039228223824684</c:v>
                </c:pt>
                <c:pt idx="24">
                  <c:v>1.1116499915650968</c:v>
                </c:pt>
                <c:pt idx="25">
                  <c:v>1.0859963681321998</c:v>
                </c:pt>
                <c:pt idx="26">
                  <c:v>1.0895723441199023</c:v>
                </c:pt>
                <c:pt idx="27">
                  <c:v>1.1073343970088267</c:v>
                </c:pt>
                <c:pt idx="28">
                  <c:v>1.138339760125074</c:v>
                </c:pt>
                <c:pt idx="29">
                  <c:v>1.1611065553275755</c:v>
                </c:pt>
                <c:pt idx="30">
                  <c:v>1.1251122521124206</c:v>
                </c:pt>
              </c:numCache>
            </c:numRef>
          </c:val>
          <c:smooth val="0"/>
          <c:extLst>
            <c:ext xmlns:c16="http://schemas.microsoft.com/office/drawing/2014/chart" uri="{C3380CC4-5D6E-409C-BE32-E72D297353CC}">
              <c16:uniqueId val="{00000000-4EF8-49D0-BDDB-7E7BC9DA8733}"/>
            </c:ext>
          </c:extLst>
        </c:ser>
        <c:ser>
          <c:idx val="1"/>
          <c:order val="1"/>
          <c:tx>
            <c:strRef>
              <c:f>'Рис. 1'!$A$30</c:f>
              <c:strCache>
                <c:ptCount val="1"/>
                <c:pt idx="0">
                  <c:v>Накопление основного капитала</c:v>
                </c:pt>
              </c:strCache>
            </c:strRef>
          </c:tx>
          <c:marker>
            <c:symbol val="none"/>
          </c:marker>
          <c:cat>
            <c:numRef>
              <c:f>'Рис. 1'!$B$28:$AF$28</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'Рис. 1'!$B$30:$AF$30</c:f>
              <c:numCache>
                <c:formatCode>0.00</c:formatCode>
                <c:ptCount val="31"/>
                <c:pt idx="0">
                  <c:v>1</c:v>
                </c:pt>
                <c:pt idx="1">
                  <c:v>0.8466381632448251</c:v>
                </c:pt>
                <c:pt idx="2">
                  <c:v>0.52491566121179156</c:v>
                </c:pt>
                <c:pt idx="3">
                  <c:v>0.38948742061914932</c:v>
                </c:pt>
                <c:pt idx="4">
                  <c:v>0.28822069125817051</c:v>
                </c:pt>
                <c:pt idx="5">
                  <c:v>0.26660413941380778</c:v>
                </c:pt>
                <c:pt idx="6">
                  <c:v>0.21008405932605537</c:v>
                </c:pt>
                <c:pt idx="7">
                  <c:v>0.19348742574931402</c:v>
                </c:pt>
                <c:pt idx="8">
                  <c:v>0.1694949954010028</c:v>
                </c:pt>
                <c:pt idx="9">
                  <c:v>0.18034265457917742</c:v>
                </c:pt>
                <c:pt idx="10">
                  <c:v>0.31596236674187128</c:v>
                </c:pt>
                <c:pt idx="11">
                  <c:v>0.36872660477630975</c:v>
                </c:pt>
                <c:pt idx="12">
                  <c:v>0.35914081876683779</c:v>
                </c:pt>
                <c:pt idx="13">
                  <c:v>0.41049804945597385</c:v>
                </c:pt>
                <c:pt idx="14">
                  <c:v>0.46057990550362993</c:v>
                </c:pt>
                <c:pt idx="15">
                  <c:v>0.50433461625421927</c:v>
                </c:pt>
                <c:pt idx="16">
                  <c:v>0.59360206564422702</c:v>
                </c:pt>
                <c:pt idx="17">
                  <c:v>0.72419340852090253</c:v>
                </c:pt>
                <c:pt idx="18">
                  <c:v>0.80023323376234978</c:v>
                </c:pt>
                <c:pt idx="19">
                  <c:v>0.47213725689924291</c:v>
                </c:pt>
                <c:pt idx="20">
                  <c:v>0.6066951319177688</c:v>
                </c:pt>
                <c:pt idx="21">
                  <c:v>0.73410096336194042</c:v>
                </c:pt>
                <c:pt idx="22">
                  <c:v>0.76640149350500164</c:v>
                </c:pt>
                <c:pt idx="23">
                  <c:v>0.7234830014442285</c:v>
                </c:pt>
                <c:pt idx="24">
                  <c:v>0.6793505340853806</c:v>
                </c:pt>
                <c:pt idx="25">
                  <c:v>0.59944655769394473</c:v>
                </c:pt>
                <c:pt idx="26">
                  <c:v>0.59213655487500361</c:v>
                </c:pt>
                <c:pt idx="27">
                  <c:v>0.62791139860275513</c:v>
                </c:pt>
                <c:pt idx="28">
                  <c:v>0.6316788669943717</c:v>
                </c:pt>
                <c:pt idx="29">
                  <c:v>0.64115404999928727</c:v>
                </c:pt>
                <c:pt idx="30">
                  <c:v>0.60140249889933139</c:v>
                </c:pt>
              </c:numCache>
            </c:numRef>
          </c:val>
          <c:smooth val="0"/>
          <c:extLst>
            <c:ext xmlns:c16="http://schemas.microsoft.com/office/drawing/2014/chart" uri="{C3380CC4-5D6E-409C-BE32-E72D297353CC}">
              <c16:uniqueId val="{00000001-4EF8-49D0-BDDB-7E7BC9DA8733}"/>
            </c:ext>
          </c:extLst>
        </c:ser>
        <c:ser>
          <c:idx val="2"/>
          <c:order val="2"/>
          <c:tx>
            <c:strRef>
              <c:f>'Рис. 1'!$A$31</c:f>
              <c:strCache>
                <c:ptCount val="1"/>
                <c:pt idx="0">
                  <c:v>ПДХ</c:v>
                </c:pt>
              </c:strCache>
            </c:strRef>
          </c:tx>
          <c:marker>
            <c:symbol val="none"/>
          </c:marker>
          <c:cat>
            <c:numRef>
              <c:f>'Рис. 1'!$B$28:$AF$28</c:f>
              <c:numCache>
                <c:formatCode>General</c:formatCod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numCache>
            </c:numRef>
          </c:cat>
          <c:val>
            <c:numRef>
              <c:f>'Рис. 1'!$B$31:$AF$31</c:f>
              <c:numCache>
                <c:formatCode>0.00</c:formatCode>
                <c:ptCount val="31"/>
                <c:pt idx="0">
                  <c:v>1</c:v>
                </c:pt>
                <c:pt idx="1">
                  <c:v>0.95888619867017033</c:v>
                </c:pt>
                <c:pt idx="2">
                  <c:v>0.84669651342576036</c:v>
                </c:pt>
                <c:pt idx="3">
                  <c:v>0.85685687158686952</c:v>
                </c:pt>
                <c:pt idx="4">
                  <c:v>0.86713915404591191</c:v>
                </c:pt>
                <c:pt idx="5">
                  <c:v>0.84285925773262638</c:v>
                </c:pt>
                <c:pt idx="6">
                  <c:v>0.80155914110597581</c:v>
                </c:pt>
                <c:pt idx="7">
                  <c:v>0.84163712134197854</c:v>
                </c:pt>
                <c:pt idx="8">
                  <c:v>0.81302146941586095</c:v>
                </c:pt>
                <c:pt idx="9">
                  <c:v>0.78944382892054366</c:v>
                </c:pt>
                <c:pt idx="10">
                  <c:v>0.84921445251724148</c:v>
                </c:pt>
                <c:pt idx="11">
                  <c:v>0.93190005220427197</c:v>
                </c:pt>
                <c:pt idx="12">
                  <c:v>1.0137605239749485</c:v>
                </c:pt>
                <c:pt idx="13">
                  <c:v>1.0947723248622712</c:v>
                </c:pt>
                <c:pt idx="14">
                  <c:v>1.2303112389111086</c:v>
                </c:pt>
                <c:pt idx="15">
                  <c:v>1.3784440150222779</c:v>
                </c:pt>
                <c:pt idx="16">
                  <c:v>1.5489820369748646</c:v>
                </c:pt>
                <c:pt idx="17">
                  <c:v>1.7712957299792775</c:v>
                </c:pt>
                <c:pt idx="18">
                  <c:v>1.9575468123353987</c:v>
                </c:pt>
                <c:pt idx="19">
                  <c:v>1.8565905995841232</c:v>
                </c:pt>
                <c:pt idx="20">
                  <c:v>1.9567517800885321</c:v>
                </c:pt>
                <c:pt idx="21">
                  <c:v>2.0861040945179696</c:v>
                </c:pt>
                <c:pt idx="22">
                  <c:v>2.245621564607418</c:v>
                </c:pt>
                <c:pt idx="23">
                  <c:v>2.3563039847573308</c:v>
                </c:pt>
                <c:pt idx="24">
                  <c:v>2.3606008991255356</c:v>
                </c:pt>
                <c:pt idx="25">
                  <c:v>2.135817810074526</c:v>
                </c:pt>
                <c:pt idx="26">
                  <c:v>2.0916873184123821</c:v>
                </c:pt>
                <c:pt idx="27">
                  <c:v>2.1585639555824985</c:v>
                </c:pt>
                <c:pt idx="28">
                  <c:v>2.2513822056725457</c:v>
                </c:pt>
                <c:pt idx="29">
                  <c:v>2.3234264362540671</c:v>
                </c:pt>
                <c:pt idx="30">
                  <c:v>2.1236117627362172</c:v>
                </c:pt>
              </c:numCache>
            </c:numRef>
          </c:val>
          <c:smooth val="0"/>
          <c:extLst>
            <c:ext xmlns:c16="http://schemas.microsoft.com/office/drawing/2014/chart" uri="{C3380CC4-5D6E-409C-BE32-E72D297353CC}">
              <c16:uniqueId val="{00000002-4EF8-49D0-BDDB-7E7BC9DA8733}"/>
            </c:ext>
          </c:extLst>
        </c:ser>
        <c:dLbls>
          <c:showLegendKey val="0"/>
          <c:showVal val="0"/>
          <c:showCatName val="0"/>
          <c:showSerName val="0"/>
          <c:showPercent val="0"/>
          <c:showBubbleSize val="0"/>
        </c:dLbls>
        <c:smooth val="0"/>
        <c:axId val="483933184"/>
        <c:axId val="745370688"/>
      </c:lineChart>
      <c:catAx>
        <c:axId val="483933184"/>
        <c:scaling>
          <c:orientation val="minMax"/>
        </c:scaling>
        <c:delete val="0"/>
        <c:axPos val="b"/>
        <c:numFmt formatCode="General" sourceLinked="1"/>
        <c:majorTickMark val="out"/>
        <c:minorTickMark val="none"/>
        <c:tickLblPos val="nextTo"/>
        <c:crossAx val="745370688"/>
        <c:crosses val="autoZero"/>
        <c:auto val="1"/>
        <c:lblAlgn val="ctr"/>
        <c:lblOffset val="100"/>
        <c:noMultiLvlLbl val="0"/>
      </c:catAx>
      <c:valAx>
        <c:axId val="745370688"/>
        <c:scaling>
          <c:orientation val="minMax"/>
        </c:scaling>
        <c:delete val="0"/>
        <c:axPos val="l"/>
        <c:numFmt formatCode="0.00" sourceLinked="1"/>
        <c:majorTickMark val="out"/>
        <c:minorTickMark val="none"/>
        <c:tickLblPos val="nextTo"/>
        <c:crossAx val="48393318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Отношение ПМ к ВВП (СПС-93)</c:v>
          </c:tx>
          <c:spPr>
            <a:ln w="28575" cap="rnd">
              <a:solidFill>
                <a:schemeClr val="accent1"/>
              </a:solidFill>
              <a:round/>
            </a:ln>
            <a:effectLst>
              <a:outerShdw blurRad="50800" dist="38100" dir="2700000" algn="tl" rotWithShape="0">
                <a:prstClr val="black">
                  <a:alpha val="40000"/>
                </a:prstClr>
              </a:outerShdw>
            </a:effectLst>
          </c:spPr>
          <c:marker>
            <c:symbol val="none"/>
          </c:marker>
          <c:trendline>
            <c:spPr>
              <a:ln w="19050" cap="rnd">
                <a:solidFill>
                  <a:schemeClr val="accent1"/>
                </a:solidFill>
                <a:prstDash val="sysDot"/>
              </a:ln>
              <a:effectLst>
                <a:outerShdw blurRad="50800" dist="38100" dir="2700000" algn="tl" rotWithShape="0">
                  <a:prstClr val="black">
                    <a:alpha val="40000"/>
                  </a:prstClr>
                </a:outerShdw>
              </a:effectLst>
            </c:spPr>
            <c:trendlineType val="linear"/>
            <c:dispRSqr val="0"/>
            <c:dispEq val="0"/>
          </c:trendline>
          <c:cat>
            <c:multiLvlStrRef>
              <c:f>'[data (42) (version 1).xlsb.xlsx]Лист1'!$D$20:$CY$21</c:f>
              <c:multiLvlStrCache>
                <c:ptCount val="100"/>
                <c:lvl>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pt idx="10">
                    <c:v>III квартал</c:v>
                  </c:pt>
                  <c:pt idx="11">
                    <c:v>IV квартал</c:v>
                  </c:pt>
                  <c:pt idx="12">
                    <c:v>I квартал</c:v>
                  </c:pt>
                  <c:pt idx="13">
                    <c:v>II квартал</c:v>
                  </c:pt>
                  <c:pt idx="14">
                    <c:v>III квартал</c:v>
                  </c:pt>
                  <c:pt idx="15">
                    <c:v>IV квартал</c:v>
                  </c:pt>
                  <c:pt idx="16">
                    <c:v>I квартал</c:v>
                  </c:pt>
                  <c:pt idx="17">
                    <c:v>II квартал</c:v>
                  </c:pt>
                  <c:pt idx="18">
                    <c:v>III квартал</c:v>
                  </c:pt>
                  <c:pt idx="19">
                    <c:v>IV квартал</c:v>
                  </c:pt>
                  <c:pt idx="20">
                    <c:v>I квартал</c:v>
                  </c:pt>
                  <c:pt idx="21">
                    <c:v>II квартал</c:v>
                  </c:pt>
                  <c:pt idx="22">
                    <c:v>III квартал</c:v>
                  </c:pt>
                  <c:pt idx="23">
                    <c:v>IV квартал</c:v>
                  </c:pt>
                  <c:pt idx="24">
                    <c:v>I квартал</c:v>
                  </c:pt>
                  <c:pt idx="25">
                    <c:v>II квартал</c:v>
                  </c:pt>
                  <c:pt idx="26">
                    <c:v>III квартал</c:v>
                  </c:pt>
                  <c:pt idx="27">
                    <c:v>IV квартал</c:v>
                  </c:pt>
                  <c:pt idx="28">
                    <c:v>I квартал</c:v>
                  </c:pt>
                  <c:pt idx="29">
                    <c:v>II квартал</c:v>
                  </c:pt>
                  <c:pt idx="30">
                    <c:v>III квартал</c:v>
                  </c:pt>
                  <c:pt idx="31">
                    <c:v>IV квартал</c:v>
                  </c:pt>
                  <c:pt idx="32">
                    <c:v>I квартал</c:v>
                  </c:pt>
                  <c:pt idx="33">
                    <c:v>II квартал</c:v>
                  </c:pt>
                  <c:pt idx="34">
                    <c:v>III квартал</c:v>
                  </c:pt>
                  <c:pt idx="35">
                    <c:v>IV квартал</c:v>
                  </c:pt>
                  <c:pt idx="36">
                    <c:v>I квартал</c:v>
                  </c:pt>
                  <c:pt idx="37">
                    <c:v>II квартал</c:v>
                  </c:pt>
                  <c:pt idx="38">
                    <c:v>III квартал</c:v>
                  </c:pt>
                  <c:pt idx="39">
                    <c:v>IV квартал</c:v>
                  </c:pt>
                  <c:pt idx="40">
                    <c:v>I квартал</c:v>
                  </c:pt>
                  <c:pt idx="41">
                    <c:v>II квартал</c:v>
                  </c:pt>
                  <c:pt idx="42">
                    <c:v>III квартал</c:v>
                  </c:pt>
                  <c:pt idx="43">
                    <c:v>IV квартал</c:v>
                  </c:pt>
                  <c:pt idx="44">
                    <c:v>I квартал</c:v>
                  </c:pt>
                  <c:pt idx="45">
                    <c:v>II квартал</c:v>
                  </c:pt>
                  <c:pt idx="46">
                    <c:v>III квартал</c:v>
                  </c:pt>
                  <c:pt idx="47">
                    <c:v>IV квартал</c:v>
                  </c:pt>
                  <c:pt idx="48">
                    <c:v>I квартал</c:v>
                  </c:pt>
                  <c:pt idx="49">
                    <c:v>II квартал</c:v>
                  </c:pt>
                  <c:pt idx="50">
                    <c:v>III квартал</c:v>
                  </c:pt>
                  <c:pt idx="51">
                    <c:v>IV квартал</c:v>
                  </c:pt>
                  <c:pt idx="52">
                    <c:v>I квартал</c:v>
                  </c:pt>
                  <c:pt idx="53">
                    <c:v>II квартал</c:v>
                  </c:pt>
                  <c:pt idx="54">
                    <c:v>III квартал</c:v>
                  </c:pt>
                  <c:pt idx="55">
                    <c:v>IV квартал</c:v>
                  </c:pt>
                  <c:pt idx="56">
                    <c:v>I квартал</c:v>
                  </c:pt>
                  <c:pt idx="57">
                    <c:v>II квартал</c:v>
                  </c:pt>
                  <c:pt idx="58">
                    <c:v>III квартал</c:v>
                  </c:pt>
                  <c:pt idx="59">
                    <c:v>IV квартал</c:v>
                  </c:pt>
                  <c:pt idx="60">
                    <c:v>I квартал</c:v>
                  </c:pt>
                  <c:pt idx="61">
                    <c:v>II квартал</c:v>
                  </c:pt>
                  <c:pt idx="62">
                    <c:v>III квартал</c:v>
                  </c:pt>
                  <c:pt idx="63">
                    <c:v>IV квартал</c:v>
                  </c:pt>
                  <c:pt idx="64">
                    <c:v>I квартал</c:v>
                  </c:pt>
                  <c:pt idx="65">
                    <c:v>II квартал</c:v>
                  </c:pt>
                  <c:pt idx="66">
                    <c:v>III квартал</c:v>
                  </c:pt>
                  <c:pt idx="67">
                    <c:v>IV квартал</c:v>
                  </c:pt>
                  <c:pt idx="68">
                    <c:v>I квартал</c:v>
                  </c:pt>
                  <c:pt idx="69">
                    <c:v>II квартал</c:v>
                  </c:pt>
                  <c:pt idx="70">
                    <c:v>III квартал</c:v>
                  </c:pt>
                  <c:pt idx="71">
                    <c:v>IV квартал</c:v>
                  </c:pt>
                  <c:pt idx="72">
                    <c:v>I квартал</c:v>
                  </c:pt>
                  <c:pt idx="73">
                    <c:v>II квартал</c:v>
                  </c:pt>
                  <c:pt idx="74">
                    <c:v>III квартал</c:v>
                  </c:pt>
                  <c:pt idx="75">
                    <c:v>IV квартал</c:v>
                  </c:pt>
                  <c:pt idx="76">
                    <c:v>I квартал</c:v>
                  </c:pt>
                  <c:pt idx="77">
                    <c:v>II квартал</c:v>
                  </c:pt>
                  <c:pt idx="78">
                    <c:v>III квартал</c:v>
                  </c:pt>
                  <c:pt idx="79">
                    <c:v>IV квартал</c:v>
                  </c:pt>
                  <c:pt idx="80">
                    <c:v>I квартал</c:v>
                  </c:pt>
                  <c:pt idx="81">
                    <c:v>II квартал</c:v>
                  </c:pt>
                  <c:pt idx="82">
                    <c:v>III квартал</c:v>
                  </c:pt>
                  <c:pt idx="83">
                    <c:v>IV квартал</c:v>
                  </c:pt>
                  <c:pt idx="84">
                    <c:v>I квартал</c:v>
                  </c:pt>
                  <c:pt idx="85">
                    <c:v>II квартал</c:v>
                  </c:pt>
                  <c:pt idx="86">
                    <c:v>III квартал</c:v>
                  </c:pt>
                  <c:pt idx="87">
                    <c:v>IV квартал</c:v>
                  </c:pt>
                  <c:pt idx="88">
                    <c:v>I квартал</c:v>
                  </c:pt>
                  <c:pt idx="89">
                    <c:v>II квартал</c:v>
                  </c:pt>
                  <c:pt idx="90">
                    <c:v>III квартал</c:v>
                  </c:pt>
                  <c:pt idx="91">
                    <c:v>IV квартал</c:v>
                  </c:pt>
                  <c:pt idx="92">
                    <c:v>I квартал</c:v>
                  </c:pt>
                  <c:pt idx="93">
                    <c:v>II квартал</c:v>
                  </c:pt>
                  <c:pt idx="94">
                    <c:v>III квартал</c:v>
                  </c:pt>
                  <c:pt idx="95">
                    <c:v>IV квартал</c:v>
                  </c:pt>
                  <c:pt idx="96">
                    <c:v>I квартал</c:v>
                  </c:pt>
                  <c:pt idx="97">
                    <c:v>II квартал</c:v>
                  </c:pt>
                  <c:pt idx="98">
                    <c:v>III квартал</c:v>
                  </c:pt>
                  <c:pt idx="99">
                    <c:v>IV квартал</c:v>
                  </c:pt>
                </c:lvl>
                <c:lvl>
                  <c:pt idx="0">
                    <c:v>1995</c:v>
                  </c:pt>
                  <c:pt idx="4">
                    <c:v>1996</c:v>
                  </c:pt>
                  <c:pt idx="8">
                    <c:v>1997</c:v>
                  </c:pt>
                  <c:pt idx="12">
                    <c:v>1998</c:v>
                  </c:pt>
                  <c:pt idx="16">
                    <c:v>1999</c:v>
                  </c:pt>
                  <c:pt idx="20">
                    <c:v>2000</c:v>
                  </c:pt>
                  <c:pt idx="24">
                    <c:v>2001</c:v>
                  </c:pt>
                  <c:pt idx="28">
                    <c:v>2002</c:v>
                  </c:pt>
                  <c:pt idx="32">
                    <c:v>2003</c:v>
                  </c:pt>
                  <c:pt idx="36">
                    <c:v>2004</c:v>
                  </c:pt>
                  <c:pt idx="40">
                    <c:v>2005</c:v>
                  </c:pt>
                  <c:pt idx="44">
                    <c:v>2006</c:v>
                  </c:pt>
                  <c:pt idx="48">
                    <c:v>2007</c:v>
                  </c:pt>
                  <c:pt idx="52">
                    <c:v>2008</c:v>
                  </c:pt>
                  <c:pt idx="56">
                    <c:v>2009</c:v>
                  </c:pt>
                  <c:pt idx="60">
                    <c:v>2010</c:v>
                  </c:pt>
                  <c:pt idx="64">
                    <c:v>2011</c:v>
                  </c:pt>
                  <c:pt idx="68">
                    <c:v>2012</c:v>
                  </c:pt>
                  <c:pt idx="72">
                    <c:v>2013</c:v>
                  </c:pt>
                  <c:pt idx="76">
                    <c:v>2014</c:v>
                  </c:pt>
                  <c:pt idx="80">
                    <c:v>2015</c:v>
                  </c:pt>
                  <c:pt idx="84">
                    <c:v>2016</c:v>
                  </c:pt>
                  <c:pt idx="88">
                    <c:v>2017</c:v>
                  </c:pt>
                  <c:pt idx="92">
                    <c:v>2018</c:v>
                  </c:pt>
                  <c:pt idx="96">
                    <c:v>2019</c:v>
                  </c:pt>
                </c:lvl>
              </c:multiLvlStrCache>
            </c:multiLvlStrRef>
          </c:cat>
          <c:val>
            <c:numRef>
              <c:f>'[data (42) (version 1).xlsb.xlsx]Лист1'!$D$27:$CY$27</c:f>
              <c:numCache>
                <c:formatCode>General</c:formatCode>
                <c:ptCount val="100"/>
                <c:pt idx="0">
                  <c:v>0.13996353294079245</c:v>
                </c:pt>
                <c:pt idx="1">
                  <c:v>0.17869797044091934</c:v>
                </c:pt>
                <c:pt idx="2">
                  <c:v>0.20201227548387249</c:v>
                </c:pt>
                <c:pt idx="3">
                  <c:v>0.21892555949956954</c:v>
                </c:pt>
                <c:pt idx="4">
                  <c:v>0.17737550945049943</c:v>
                </c:pt>
                <c:pt idx="5">
                  <c:v>0.1885383343399781</c:v>
                </c:pt>
                <c:pt idx="6">
                  <c:v>0.18527709410545767</c:v>
                </c:pt>
                <c:pt idx="7">
                  <c:v>0.18482536153173898</c:v>
                </c:pt>
                <c:pt idx="8">
                  <c:v>0.17156055417384913</c:v>
                </c:pt>
                <c:pt idx="9">
                  <c:v>0.17814279871966612</c:v>
                </c:pt>
                <c:pt idx="10">
                  <c:v>0.17811248940241126</c:v>
                </c:pt>
                <c:pt idx="11">
                  <c:v>0.17439682324203826</c:v>
                </c:pt>
                <c:pt idx="12">
                  <c:v>0.16085956047692007</c:v>
                </c:pt>
                <c:pt idx="13">
                  <c:v>0.16504266961461775</c:v>
                </c:pt>
                <c:pt idx="14">
                  <c:v>0.18253567146317171</c:v>
                </c:pt>
                <c:pt idx="15">
                  <c:v>0.24185976468870252</c:v>
                </c:pt>
                <c:pt idx="16">
                  <c:v>0.17083974889459527</c:v>
                </c:pt>
                <c:pt idx="17">
                  <c:v>0.19053607916763721</c:v>
                </c:pt>
                <c:pt idx="18">
                  <c:v>0.19571932397633246</c:v>
                </c:pt>
                <c:pt idx="19">
                  <c:v>0.19571932397633246</c:v>
                </c:pt>
                <c:pt idx="20">
                  <c:v>0.15576992825398622</c:v>
                </c:pt>
                <c:pt idx="21">
                  <c:v>0.16220330841913327</c:v>
                </c:pt>
                <c:pt idx="22">
                  <c:v>0.16891044944237171</c:v>
                </c:pt>
                <c:pt idx="23">
                  <c:v>0.17589135132370148</c:v>
                </c:pt>
                <c:pt idx="24">
                  <c:v>0.15608957770657989</c:v>
                </c:pt>
                <c:pt idx="25">
                  <c:v>0.16850071175058443</c:v>
                </c:pt>
                <c:pt idx="26">
                  <c:v>0.17040151606363019</c:v>
                </c:pt>
                <c:pt idx="27">
                  <c:v>0.17599211698435294</c:v>
                </c:pt>
                <c:pt idx="28">
                  <c:v>0.15871843405198283</c:v>
                </c:pt>
                <c:pt idx="29">
                  <c:v>0.1665666405059785</c:v>
                </c:pt>
                <c:pt idx="30">
                  <c:v>0.16776695443423664</c:v>
                </c:pt>
                <c:pt idx="31">
                  <c:v>0.17478417432251511</c:v>
                </c:pt>
                <c:pt idx="32">
                  <c:v>0.15497908609109903</c:v>
                </c:pt>
                <c:pt idx="33">
                  <c:v>0.1617930175753193</c:v>
                </c:pt>
                <c:pt idx="34">
                  <c:v>0.16058165197812457</c:v>
                </c:pt>
                <c:pt idx="35">
                  <c:v>0.16224727967426733</c:v>
                </c:pt>
                <c:pt idx="36">
                  <c:v>0.13466695820892768</c:v>
                </c:pt>
                <c:pt idx="37">
                  <c:v>0.1387780297634959</c:v>
                </c:pt>
                <c:pt idx="38">
                  <c:v>0.14071610635350665</c:v>
                </c:pt>
                <c:pt idx="39">
                  <c:v>0.14394623400352455</c:v>
                </c:pt>
                <c:pt idx="40">
                  <c:v>0.13466134102367952</c:v>
                </c:pt>
                <c:pt idx="41">
                  <c:v>0.14127871963755792</c:v>
                </c:pt>
                <c:pt idx="42">
                  <c:v>0.14100106738802456</c:v>
                </c:pt>
                <c:pt idx="43">
                  <c:v>0.14160264726201352</c:v>
                </c:pt>
                <c:pt idx="44">
                  <c:v>0.12534735513481668</c:v>
                </c:pt>
                <c:pt idx="45">
                  <c:v>0.12791077170396378</c:v>
                </c:pt>
                <c:pt idx="46">
                  <c:v>0.12757641302103156</c:v>
                </c:pt>
                <c:pt idx="47">
                  <c:v>0.12768786591534229</c:v>
                </c:pt>
                <c:pt idx="48">
                  <c:v>0.11116620886989995</c:v>
                </c:pt>
                <c:pt idx="49">
                  <c:v>0.11456495930342232</c:v>
                </c:pt>
                <c:pt idx="50">
                  <c:v>0.11667037992595831</c:v>
                </c:pt>
                <c:pt idx="51">
                  <c:v>0.12046013704652309</c:v>
                </c:pt>
                <c:pt idx="52">
                  <c:v>0.10664573693728453</c:v>
                </c:pt>
                <c:pt idx="53">
                  <c:v>0.11255704084748386</c:v>
                </c:pt>
                <c:pt idx="54">
                  <c:v>0.11216941436156914</c:v>
                </c:pt>
                <c:pt idx="55">
                  <c:v>0.11369569364985832</c:v>
                </c:pt>
                <c:pt idx="56">
                  <c:v>0.13098078622172774</c:v>
                </c:pt>
                <c:pt idx="57">
                  <c:v>0.1336607000063155</c:v>
                </c:pt>
                <c:pt idx="58">
                  <c:v>0.13394415242583921</c:v>
                </c:pt>
                <c:pt idx="59">
                  <c:v>0.13255265872999555</c:v>
                </c:pt>
                <c:pt idx="60">
                  <c:v>0.1191572841254029</c:v>
                </c:pt>
                <c:pt idx="61">
                  <c:v>0.12146787299843989</c:v>
                </c:pt>
                <c:pt idx="62">
                  <c:v>0.12323860465815048</c:v>
                </c:pt>
                <c:pt idx="63">
                  <c:v>0.1274494909220964</c:v>
                </c:pt>
                <c:pt idx="64">
                  <c:v>0.11565697238279084</c:v>
                </c:pt>
                <c:pt idx="65">
                  <c:v>0.1162287355708411</c:v>
                </c:pt>
                <c:pt idx="66">
                  <c:v>0.11233359885224872</c:v>
                </c:pt>
                <c:pt idx="67">
                  <c:v>0.11093992608137623</c:v>
                </c:pt>
              </c:numCache>
            </c:numRef>
          </c:val>
          <c:smooth val="0"/>
          <c:extLst>
            <c:ext xmlns:c16="http://schemas.microsoft.com/office/drawing/2014/chart" uri="{C3380CC4-5D6E-409C-BE32-E72D297353CC}">
              <c16:uniqueId val="{00000001-5D4F-044A-ADF1-1092EE2AF86C}"/>
            </c:ext>
          </c:extLst>
        </c:ser>
        <c:ser>
          <c:idx val="1"/>
          <c:order val="1"/>
          <c:tx>
            <c:v>Отношение ПМ к ВВП (СПС-08)</c:v>
          </c:tx>
          <c:spPr>
            <a:ln w="28575" cap="rnd">
              <a:solidFill>
                <a:schemeClr val="accent2"/>
              </a:solidFill>
              <a:round/>
            </a:ln>
            <a:effectLst>
              <a:outerShdw blurRad="50800" dist="38100" dir="2700000" algn="tl" rotWithShape="0">
                <a:prstClr val="black">
                  <a:alpha val="40000"/>
                </a:prstClr>
              </a:outerShdw>
            </a:effectLst>
          </c:spPr>
          <c:marker>
            <c:symbol val="none"/>
          </c:marker>
          <c:trendline>
            <c:spPr>
              <a:ln w="19050" cap="rnd">
                <a:solidFill>
                  <a:schemeClr val="accent2"/>
                </a:solidFill>
                <a:prstDash val="sysDot"/>
              </a:ln>
              <a:effectLst>
                <a:outerShdw blurRad="50800" dist="38100" dir="2700000" algn="tl" rotWithShape="0">
                  <a:prstClr val="black">
                    <a:alpha val="40000"/>
                  </a:prstClr>
                </a:outerShdw>
              </a:effectLst>
            </c:spPr>
            <c:trendlineType val="linear"/>
            <c:dispRSqr val="0"/>
            <c:dispEq val="0"/>
          </c:trendline>
          <c:cat>
            <c:multiLvlStrRef>
              <c:f>'[data (42) (version 1).xlsb.xlsx]Лист1'!$D$20:$CY$21</c:f>
              <c:multiLvlStrCache>
                <c:ptCount val="100"/>
                <c:lvl>
                  <c:pt idx="0">
                    <c:v>I квартал</c:v>
                  </c:pt>
                  <c:pt idx="1">
                    <c:v>II квартал</c:v>
                  </c:pt>
                  <c:pt idx="2">
                    <c:v>III квартал</c:v>
                  </c:pt>
                  <c:pt idx="3">
                    <c:v>IV квартал</c:v>
                  </c:pt>
                  <c:pt idx="4">
                    <c:v>I квартал</c:v>
                  </c:pt>
                  <c:pt idx="5">
                    <c:v>II квартал</c:v>
                  </c:pt>
                  <c:pt idx="6">
                    <c:v>III квартал</c:v>
                  </c:pt>
                  <c:pt idx="7">
                    <c:v>IV квартал</c:v>
                  </c:pt>
                  <c:pt idx="8">
                    <c:v>I квартал</c:v>
                  </c:pt>
                  <c:pt idx="9">
                    <c:v>II квартал</c:v>
                  </c:pt>
                  <c:pt idx="10">
                    <c:v>III квартал</c:v>
                  </c:pt>
                  <c:pt idx="11">
                    <c:v>IV квартал</c:v>
                  </c:pt>
                  <c:pt idx="12">
                    <c:v>I квартал</c:v>
                  </c:pt>
                  <c:pt idx="13">
                    <c:v>II квартал</c:v>
                  </c:pt>
                  <c:pt idx="14">
                    <c:v>III квартал</c:v>
                  </c:pt>
                  <c:pt idx="15">
                    <c:v>IV квартал</c:v>
                  </c:pt>
                  <c:pt idx="16">
                    <c:v>I квартал</c:v>
                  </c:pt>
                  <c:pt idx="17">
                    <c:v>II квартал</c:v>
                  </c:pt>
                  <c:pt idx="18">
                    <c:v>III квартал</c:v>
                  </c:pt>
                  <c:pt idx="19">
                    <c:v>IV квартал</c:v>
                  </c:pt>
                  <c:pt idx="20">
                    <c:v>I квартал</c:v>
                  </c:pt>
                  <c:pt idx="21">
                    <c:v>II квартал</c:v>
                  </c:pt>
                  <c:pt idx="22">
                    <c:v>III квартал</c:v>
                  </c:pt>
                  <c:pt idx="23">
                    <c:v>IV квартал</c:v>
                  </c:pt>
                  <c:pt idx="24">
                    <c:v>I квартал</c:v>
                  </c:pt>
                  <c:pt idx="25">
                    <c:v>II квартал</c:v>
                  </c:pt>
                  <c:pt idx="26">
                    <c:v>III квартал</c:v>
                  </c:pt>
                  <c:pt idx="27">
                    <c:v>IV квартал</c:v>
                  </c:pt>
                  <c:pt idx="28">
                    <c:v>I квартал</c:v>
                  </c:pt>
                  <c:pt idx="29">
                    <c:v>II квартал</c:v>
                  </c:pt>
                  <c:pt idx="30">
                    <c:v>III квартал</c:v>
                  </c:pt>
                  <c:pt idx="31">
                    <c:v>IV квартал</c:v>
                  </c:pt>
                  <c:pt idx="32">
                    <c:v>I квартал</c:v>
                  </c:pt>
                  <c:pt idx="33">
                    <c:v>II квартал</c:v>
                  </c:pt>
                  <c:pt idx="34">
                    <c:v>III квартал</c:v>
                  </c:pt>
                  <c:pt idx="35">
                    <c:v>IV квартал</c:v>
                  </c:pt>
                  <c:pt idx="36">
                    <c:v>I квартал</c:v>
                  </c:pt>
                  <c:pt idx="37">
                    <c:v>II квартал</c:v>
                  </c:pt>
                  <c:pt idx="38">
                    <c:v>III квартал</c:v>
                  </c:pt>
                  <c:pt idx="39">
                    <c:v>IV квартал</c:v>
                  </c:pt>
                  <c:pt idx="40">
                    <c:v>I квартал</c:v>
                  </c:pt>
                  <c:pt idx="41">
                    <c:v>II квартал</c:v>
                  </c:pt>
                  <c:pt idx="42">
                    <c:v>III квартал</c:v>
                  </c:pt>
                  <c:pt idx="43">
                    <c:v>IV квартал</c:v>
                  </c:pt>
                  <c:pt idx="44">
                    <c:v>I квартал</c:v>
                  </c:pt>
                  <c:pt idx="45">
                    <c:v>II квартал</c:v>
                  </c:pt>
                  <c:pt idx="46">
                    <c:v>III квартал</c:v>
                  </c:pt>
                  <c:pt idx="47">
                    <c:v>IV квартал</c:v>
                  </c:pt>
                  <c:pt idx="48">
                    <c:v>I квартал</c:v>
                  </c:pt>
                  <c:pt idx="49">
                    <c:v>II квартал</c:v>
                  </c:pt>
                  <c:pt idx="50">
                    <c:v>III квартал</c:v>
                  </c:pt>
                  <c:pt idx="51">
                    <c:v>IV квартал</c:v>
                  </c:pt>
                  <c:pt idx="52">
                    <c:v>I квартал</c:v>
                  </c:pt>
                  <c:pt idx="53">
                    <c:v>II квартал</c:v>
                  </c:pt>
                  <c:pt idx="54">
                    <c:v>III квартал</c:v>
                  </c:pt>
                  <c:pt idx="55">
                    <c:v>IV квартал</c:v>
                  </c:pt>
                  <c:pt idx="56">
                    <c:v>I квартал</c:v>
                  </c:pt>
                  <c:pt idx="57">
                    <c:v>II квартал</c:v>
                  </c:pt>
                  <c:pt idx="58">
                    <c:v>III квартал</c:v>
                  </c:pt>
                  <c:pt idx="59">
                    <c:v>IV квартал</c:v>
                  </c:pt>
                  <c:pt idx="60">
                    <c:v>I квартал</c:v>
                  </c:pt>
                  <c:pt idx="61">
                    <c:v>II квартал</c:v>
                  </c:pt>
                  <c:pt idx="62">
                    <c:v>III квартал</c:v>
                  </c:pt>
                  <c:pt idx="63">
                    <c:v>IV квартал</c:v>
                  </c:pt>
                  <c:pt idx="64">
                    <c:v>I квартал</c:v>
                  </c:pt>
                  <c:pt idx="65">
                    <c:v>II квартал</c:v>
                  </c:pt>
                  <c:pt idx="66">
                    <c:v>III квартал</c:v>
                  </c:pt>
                  <c:pt idx="67">
                    <c:v>IV квартал</c:v>
                  </c:pt>
                  <c:pt idx="68">
                    <c:v>I квартал</c:v>
                  </c:pt>
                  <c:pt idx="69">
                    <c:v>II квартал</c:v>
                  </c:pt>
                  <c:pt idx="70">
                    <c:v>III квартал</c:v>
                  </c:pt>
                  <c:pt idx="71">
                    <c:v>IV квартал</c:v>
                  </c:pt>
                  <c:pt idx="72">
                    <c:v>I квартал</c:v>
                  </c:pt>
                  <c:pt idx="73">
                    <c:v>II квартал</c:v>
                  </c:pt>
                  <c:pt idx="74">
                    <c:v>III квартал</c:v>
                  </c:pt>
                  <c:pt idx="75">
                    <c:v>IV квартал</c:v>
                  </c:pt>
                  <c:pt idx="76">
                    <c:v>I квартал</c:v>
                  </c:pt>
                  <c:pt idx="77">
                    <c:v>II квартал</c:v>
                  </c:pt>
                  <c:pt idx="78">
                    <c:v>III квартал</c:v>
                  </c:pt>
                  <c:pt idx="79">
                    <c:v>IV квартал</c:v>
                  </c:pt>
                  <c:pt idx="80">
                    <c:v>I квартал</c:v>
                  </c:pt>
                  <c:pt idx="81">
                    <c:v>II квартал</c:v>
                  </c:pt>
                  <c:pt idx="82">
                    <c:v>III квартал</c:v>
                  </c:pt>
                  <c:pt idx="83">
                    <c:v>IV квартал</c:v>
                  </c:pt>
                  <c:pt idx="84">
                    <c:v>I квартал</c:v>
                  </c:pt>
                  <c:pt idx="85">
                    <c:v>II квартал</c:v>
                  </c:pt>
                  <c:pt idx="86">
                    <c:v>III квартал</c:v>
                  </c:pt>
                  <c:pt idx="87">
                    <c:v>IV квартал</c:v>
                  </c:pt>
                  <c:pt idx="88">
                    <c:v>I квартал</c:v>
                  </c:pt>
                  <c:pt idx="89">
                    <c:v>II квартал</c:v>
                  </c:pt>
                  <c:pt idx="90">
                    <c:v>III квартал</c:v>
                  </c:pt>
                  <c:pt idx="91">
                    <c:v>IV квартал</c:v>
                  </c:pt>
                  <c:pt idx="92">
                    <c:v>I квартал</c:v>
                  </c:pt>
                  <c:pt idx="93">
                    <c:v>II квартал</c:v>
                  </c:pt>
                  <c:pt idx="94">
                    <c:v>III квартал</c:v>
                  </c:pt>
                  <c:pt idx="95">
                    <c:v>IV квартал</c:v>
                  </c:pt>
                  <c:pt idx="96">
                    <c:v>I квартал</c:v>
                  </c:pt>
                  <c:pt idx="97">
                    <c:v>II квартал</c:v>
                  </c:pt>
                  <c:pt idx="98">
                    <c:v>III квартал</c:v>
                  </c:pt>
                  <c:pt idx="99">
                    <c:v>IV квартал</c:v>
                  </c:pt>
                </c:lvl>
                <c:lvl>
                  <c:pt idx="0">
                    <c:v>1995</c:v>
                  </c:pt>
                  <c:pt idx="4">
                    <c:v>1996</c:v>
                  </c:pt>
                  <c:pt idx="8">
                    <c:v>1997</c:v>
                  </c:pt>
                  <c:pt idx="12">
                    <c:v>1998</c:v>
                  </c:pt>
                  <c:pt idx="16">
                    <c:v>1999</c:v>
                  </c:pt>
                  <c:pt idx="20">
                    <c:v>2000</c:v>
                  </c:pt>
                  <c:pt idx="24">
                    <c:v>2001</c:v>
                  </c:pt>
                  <c:pt idx="28">
                    <c:v>2002</c:v>
                  </c:pt>
                  <c:pt idx="32">
                    <c:v>2003</c:v>
                  </c:pt>
                  <c:pt idx="36">
                    <c:v>2004</c:v>
                  </c:pt>
                  <c:pt idx="40">
                    <c:v>2005</c:v>
                  </c:pt>
                  <c:pt idx="44">
                    <c:v>2006</c:v>
                  </c:pt>
                  <c:pt idx="48">
                    <c:v>2007</c:v>
                  </c:pt>
                  <c:pt idx="52">
                    <c:v>2008</c:v>
                  </c:pt>
                  <c:pt idx="56">
                    <c:v>2009</c:v>
                  </c:pt>
                  <c:pt idx="60">
                    <c:v>2010</c:v>
                  </c:pt>
                  <c:pt idx="64">
                    <c:v>2011</c:v>
                  </c:pt>
                  <c:pt idx="68">
                    <c:v>2012</c:v>
                  </c:pt>
                  <c:pt idx="72">
                    <c:v>2013</c:v>
                  </c:pt>
                  <c:pt idx="76">
                    <c:v>2014</c:v>
                  </c:pt>
                  <c:pt idx="80">
                    <c:v>2015</c:v>
                  </c:pt>
                  <c:pt idx="84">
                    <c:v>2016</c:v>
                  </c:pt>
                  <c:pt idx="88">
                    <c:v>2017</c:v>
                  </c:pt>
                  <c:pt idx="92">
                    <c:v>2018</c:v>
                  </c:pt>
                  <c:pt idx="96">
                    <c:v>2019</c:v>
                  </c:pt>
                </c:lvl>
              </c:multiLvlStrCache>
            </c:multiLvlStrRef>
          </c:cat>
          <c:val>
            <c:numRef>
              <c:f>'[data (42) (version 1).xlsb.xlsx]Лист1'!$D$28:$CY$28</c:f>
              <c:numCache>
                <c:formatCode>General</c:formatCode>
                <c:ptCount val="100"/>
                <c:pt idx="64">
                  <c:v>0.10767874222121776</c:v>
                </c:pt>
                <c:pt idx="65">
                  <c:v>0.1082110641354892</c:v>
                </c:pt>
                <c:pt idx="66">
                  <c:v>0.10458462109451508</c:v>
                </c:pt>
                <c:pt idx="67">
                  <c:v>0.10328708642847846</c:v>
                </c:pt>
                <c:pt idx="68">
                  <c:v>9.2609112085803996E-2</c:v>
                </c:pt>
                <c:pt idx="69">
                  <c:v>9.3754428518766211E-2</c:v>
                </c:pt>
                <c:pt idx="70">
                  <c:v>9.7542782873948936E-2</c:v>
                </c:pt>
                <c:pt idx="71">
                  <c:v>9.8453162602713779E-2</c:v>
                </c:pt>
                <c:pt idx="72">
                  <c:v>9.7210821984883136E-2</c:v>
                </c:pt>
                <c:pt idx="73">
                  <c:v>0.10100608592988844</c:v>
                </c:pt>
                <c:pt idx="74">
                  <c:v>0.10178706082109892</c:v>
                </c:pt>
                <c:pt idx="75">
                  <c:v>0.1003758254913677</c:v>
                </c:pt>
                <c:pt idx="76">
                  <c:v>9.7279464778987731E-2</c:v>
                </c:pt>
                <c:pt idx="77">
                  <c:v>0.10365678661153323</c:v>
                </c:pt>
                <c:pt idx="78">
                  <c:v>0.10231552448008517</c:v>
                </c:pt>
                <c:pt idx="79">
                  <c:v>0.10418823009757869</c:v>
                </c:pt>
                <c:pt idx="80">
                  <c:v>0.1162872426510774</c:v>
                </c:pt>
                <c:pt idx="81">
                  <c:v>0.12055985402979118</c:v>
                </c:pt>
                <c:pt idx="82">
                  <c:v>0.11641963342619248</c:v>
                </c:pt>
                <c:pt idx="83">
                  <c:v>0.11375978239888053</c:v>
                </c:pt>
                <c:pt idx="84">
                  <c:v>0.11418415284158427</c:v>
                </c:pt>
                <c:pt idx="85">
                  <c:v>0.11628656154775092</c:v>
                </c:pt>
                <c:pt idx="86">
                  <c:v>0.11550399830712223</c:v>
                </c:pt>
                <c:pt idx="87">
                  <c:v>0.11319134873033891</c:v>
                </c:pt>
                <c:pt idx="88">
                  <c:v>0.10789045826932701</c:v>
                </c:pt>
                <c:pt idx="89">
                  <c:v>0.11246347194105144</c:v>
                </c:pt>
                <c:pt idx="90">
                  <c:v>0.11245258381326162</c:v>
                </c:pt>
                <c:pt idx="91">
                  <c:v>0.10655121855117915</c:v>
                </c:pt>
                <c:pt idx="92">
                  <c:v>9.5938399649685119E-2</c:v>
                </c:pt>
                <c:pt idx="93">
                  <c:v>9.9818753331471541E-2</c:v>
                </c:pt>
                <c:pt idx="94">
                  <c:v>9.988565598115752E-2</c:v>
                </c:pt>
                <c:pt idx="95">
                  <c:v>9.7610965891834434E-2</c:v>
                </c:pt>
                <c:pt idx="96">
                  <c:v>9.7713637518116028E-2</c:v>
                </c:pt>
                <c:pt idx="97">
                  <c:v>0.10163926677579538</c:v>
                </c:pt>
                <c:pt idx="98">
                  <c:v>0.10006719765177101</c:v>
                </c:pt>
                <c:pt idx="99">
                  <c:v>9.6405094432222907E-2</c:v>
                </c:pt>
              </c:numCache>
            </c:numRef>
          </c:val>
          <c:smooth val="0"/>
          <c:extLst>
            <c:ext xmlns:c16="http://schemas.microsoft.com/office/drawing/2014/chart" uri="{C3380CC4-5D6E-409C-BE32-E72D297353CC}">
              <c16:uniqueId val="{00000003-5D4F-044A-ADF1-1092EE2AF86C}"/>
            </c:ext>
          </c:extLst>
        </c:ser>
        <c:dLbls>
          <c:showLegendKey val="0"/>
          <c:showVal val="0"/>
          <c:showCatName val="0"/>
          <c:showSerName val="0"/>
          <c:showPercent val="0"/>
          <c:showBubbleSize val="0"/>
        </c:dLbls>
        <c:smooth val="0"/>
        <c:axId val="583483904"/>
        <c:axId val="751131392"/>
      </c:lineChart>
      <c:catAx>
        <c:axId val="58348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mn-cs"/>
              </a:defRPr>
            </a:pPr>
            <a:endParaRPr lang="ru-RU"/>
          </a:p>
        </c:txPr>
        <c:crossAx val="751131392"/>
        <c:crosses val="autoZero"/>
        <c:auto val="1"/>
        <c:lblAlgn val="ctr"/>
        <c:lblOffset val="100"/>
        <c:noMultiLvlLbl val="0"/>
      </c:catAx>
      <c:valAx>
        <c:axId val="7511313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8348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Дифференциация среднедушевых денежных доходов населения</a:t>
            </a:r>
          </a:p>
        </c:rich>
      </c:tx>
      <c:overlay val="0"/>
      <c:spPr>
        <a:noFill/>
        <a:ln>
          <a:noFill/>
        </a:ln>
        <a:effectLst/>
      </c:spPr>
    </c:title>
    <c:autoTitleDeleted val="0"/>
    <c:plotArea>
      <c:layout/>
      <c:barChart>
        <c:barDir val="col"/>
        <c:grouping val="clustered"/>
        <c:varyColors val="0"/>
        <c:ser>
          <c:idx val="2"/>
          <c:order val="2"/>
          <c:tx>
            <c:strRef>
              <c:f>граф!$A$33</c:f>
              <c:strCache>
                <c:ptCount val="1"/>
                <c:pt idx="0">
                  <c:v>max/min79</c:v>
                </c:pt>
              </c:strCache>
            </c:strRef>
          </c:tx>
          <c:spPr>
            <a:solidFill>
              <a:schemeClr val="accent3"/>
            </a:solidFill>
            <a:ln>
              <a:noFill/>
            </a:ln>
            <a:effectLst/>
          </c:spPr>
          <c:invertIfNegative val="0"/>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граф!$B$33:$Z$33</c:f>
              <c:numCache>
                <c:formatCode>General</c:formatCode>
                <c:ptCount val="25"/>
                <c:pt idx="0">
                  <c:v>11.110704797001217</c:v>
                </c:pt>
                <c:pt idx="1">
                  <c:v>8.2858856997466024</c:v>
                </c:pt>
                <c:pt idx="2">
                  <c:v>6.1687684623048282</c:v>
                </c:pt>
                <c:pt idx="3">
                  <c:v>6.5965209152806805</c:v>
                </c:pt>
                <c:pt idx="4">
                  <c:v>9.1511337459003599</c:v>
                </c:pt>
                <c:pt idx="5">
                  <c:v>8.4936392398061908</c:v>
                </c:pt>
                <c:pt idx="6">
                  <c:v>7.5165619787785234</c:v>
                </c:pt>
                <c:pt idx="7">
                  <c:v>6.5221068290129738</c:v>
                </c:pt>
                <c:pt idx="8">
                  <c:v>7.1397002008963062</c:v>
                </c:pt>
                <c:pt idx="9">
                  <c:v>6.4129313349599171</c:v>
                </c:pt>
                <c:pt idx="10">
                  <c:v>5.8618717873897328</c:v>
                </c:pt>
                <c:pt idx="11">
                  <c:v>4.8459809813530343</c:v>
                </c:pt>
                <c:pt idx="12">
                  <c:v>4.5045633802816898</c:v>
                </c:pt>
                <c:pt idx="13">
                  <c:v>3.5631277480506394</c:v>
                </c:pt>
                <c:pt idx="14">
                  <c:v>3.6072250785593298</c:v>
                </c:pt>
                <c:pt idx="15">
                  <c:v>3.5617700025726782</c:v>
                </c:pt>
                <c:pt idx="16">
                  <c:v>3.3213784918139484</c:v>
                </c:pt>
                <c:pt idx="17">
                  <c:v>3.0993290599182903</c:v>
                </c:pt>
                <c:pt idx="18">
                  <c:v>3.0282227743034733</c:v>
                </c:pt>
                <c:pt idx="19">
                  <c:v>2.7859566607273876</c:v>
                </c:pt>
                <c:pt idx="20">
                  <c:v>2.5874000609270866</c:v>
                </c:pt>
                <c:pt idx="21">
                  <c:v>2.5827928067314905</c:v>
                </c:pt>
                <c:pt idx="22">
                  <c:v>2.7884901390784762</c:v>
                </c:pt>
                <c:pt idx="23">
                  <c:v>2.7392969300775492</c:v>
                </c:pt>
                <c:pt idx="24">
                  <c:v>2.7480598759619448</c:v>
                </c:pt>
              </c:numCache>
            </c:numRef>
          </c:val>
          <c:extLst>
            <c:ext xmlns:c16="http://schemas.microsoft.com/office/drawing/2014/chart" uri="{C3380CC4-5D6E-409C-BE32-E72D297353CC}">
              <c16:uniqueId val="{00000000-F01F-4549-BDB9-3F1251CA4C8C}"/>
            </c:ext>
          </c:extLst>
        </c:ser>
        <c:ser>
          <c:idx val="5"/>
          <c:order val="5"/>
          <c:tx>
            <c:strRef>
              <c:f>граф!$A$36</c:f>
              <c:strCache>
                <c:ptCount val="1"/>
                <c:pt idx="0">
                  <c:v>max/min85</c:v>
                </c:pt>
              </c:strCache>
            </c:strRef>
          </c:tx>
          <c:spPr>
            <a:solidFill>
              <a:schemeClr val="accent6"/>
            </a:solidFill>
            <a:ln>
              <a:noFill/>
            </a:ln>
            <a:effectLst/>
          </c:spPr>
          <c:invertIfNegative val="0"/>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граф!$B$36:$Z$36</c:f>
              <c:numCache>
                <c:formatCode>General</c:formatCode>
                <c:ptCount val="25"/>
                <c:pt idx="20">
                  <c:v>3.177233183212941</c:v>
                </c:pt>
                <c:pt idx="21">
                  <c:v>3.411297220482358</c:v>
                </c:pt>
                <c:pt idx="22">
                  <c:v>3.5891946955434784</c:v>
                </c:pt>
                <c:pt idx="23">
                  <c:v>3.7539123938965075</c:v>
                </c:pt>
                <c:pt idx="24">
                  <c:v>3.6439508149090258</c:v>
                </c:pt>
              </c:numCache>
            </c:numRef>
          </c:val>
          <c:extLst>
            <c:ext xmlns:c16="http://schemas.microsoft.com/office/drawing/2014/chart" uri="{C3380CC4-5D6E-409C-BE32-E72D297353CC}">
              <c16:uniqueId val="{00000001-F01F-4549-BDB9-3F1251CA4C8C}"/>
            </c:ext>
          </c:extLst>
        </c:ser>
        <c:dLbls>
          <c:showLegendKey val="0"/>
          <c:showVal val="0"/>
          <c:showCatName val="0"/>
          <c:showSerName val="0"/>
          <c:showPercent val="0"/>
          <c:showBubbleSize val="0"/>
        </c:dLbls>
        <c:gapWidth val="219"/>
        <c:axId val="648298496"/>
        <c:axId val="818349184"/>
      </c:barChart>
      <c:lineChart>
        <c:grouping val="standard"/>
        <c:varyColors val="0"/>
        <c:ser>
          <c:idx val="0"/>
          <c:order val="0"/>
          <c:tx>
            <c:strRef>
              <c:f>граф!$A$31</c:f>
              <c:strCache>
                <c:ptCount val="1"/>
                <c:pt idx="0">
                  <c:v>VAR79</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граф!$B$31:$Z$31</c:f>
              <c:numCache>
                <c:formatCode>General</c:formatCode>
                <c:ptCount val="25"/>
                <c:pt idx="0">
                  <c:v>0.32443634142071548</c:v>
                </c:pt>
                <c:pt idx="1">
                  <c:v>0.31313576279039351</c:v>
                </c:pt>
                <c:pt idx="2">
                  <c:v>0.30134391111024961</c:v>
                </c:pt>
                <c:pt idx="3">
                  <c:v>0.33488636566476176</c:v>
                </c:pt>
                <c:pt idx="4">
                  <c:v>0.33713034450749457</c:v>
                </c:pt>
                <c:pt idx="5">
                  <c:v>0.33263741932535607</c:v>
                </c:pt>
                <c:pt idx="6">
                  <c:v>0.4300093195860431</c:v>
                </c:pt>
                <c:pt idx="7">
                  <c:v>0.37520278306964422</c:v>
                </c:pt>
                <c:pt idx="8">
                  <c:v>0.37663388297072697</c:v>
                </c:pt>
                <c:pt idx="9">
                  <c:v>0.37881138451729179</c:v>
                </c:pt>
                <c:pt idx="10">
                  <c:v>0.35896567431256526</c:v>
                </c:pt>
                <c:pt idx="11">
                  <c:v>0.34265291679945054</c:v>
                </c:pt>
                <c:pt idx="12">
                  <c:v>0.34712706074231486</c:v>
                </c:pt>
                <c:pt idx="13">
                  <c:v>0.30556776866595159</c:v>
                </c:pt>
                <c:pt idx="14">
                  <c:v>0.28726797176852037</c:v>
                </c:pt>
                <c:pt idx="15">
                  <c:v>0.27887267269632571</c:v>
                </c:pt>
                <c:pt idx="16">
                  <c:v>0.27203927194771477</c:v>
                </c:pt>
                <c:pt idx="17">
                  <c:v>0.27200681129899529</c:v>
                </c:pt>
                <c:pt idx="18">
                  <c:v>0.28223856575954137</c:v>
                </c:pt>
                <c:pt idx="19">
                  <c:v>0.27025598246186017</c:v>
                </c:pt>
                <c:pt idx="20">
                  <c:v>0.24574050501515374</c:v>
                </c:pt>
                <c:pt idx="21">
                  <c:v>0.25339672625709209</c:v>
                </c:pt>
                <c:pt idx="22">
                  <c:v>0.25930160395860558</c:v>
                </c:pt>
                <c:pt idx="23">
                  <c:v>0.27634543580363896</c:v>
                </c:pt>
                <c:pt idx="24">
                  <c:v>0.27444102811305787</c:v>
                </c:pt>
              </c:numCache>
            </c:numRef>
          </c:val>
          <c:smooth val="0"/>
          <c:extLst>
            <c:ext xmlns:c16="http://schemas.microsoft.com/office/drawing/2014/chart" uri="{C3380CC4-5D6E-409C-BE32-E72D297353CC}">
              <c16:uniqueId val="{00000002-F01F-4549-BDB9-3F1251CA4C8C}"/>
            </c:ext>
          </c:extLst>
        </c:ser>
        <c:ser>
          <c:idx val="1"/>
          <c:order val="1"/>
          <c:tx>
            <c:strRef>
              <c:f>граф!$A$32</c:f>
              <c:strCache>
                <c:ptCount val="1"/>
                <c:pt idx="0">
                  <c:v>VAR78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граф!$B$32:$Z$32</c:f>
              <c:numCache>
                <c:formatCode>General</c:formatCode>
                <c:ptCount val="25"/>
                <c:pt idx="0">
                  <c:v>0.26656055501017117</c:v>
                </c:pt>
                <c:pt idx="1">
                  <c:v>0.25267297692455509</c:v>
                </c:pt>
                <c:pt idx="2">
                  <c:v>0.24777127424339809</c:v>
                </c:pt>
                <c:pt idx="3">
                  <c:v>0.28603090336735387</c:v>
                </c:pt>
                <c:pt idx="4">
                  <c:v>0.29143599114709245</c:v>
                </c:pt>
                <c:pt idx="5">
                  <c:v>0.30193405647957589</c:v>
                </c:pt>
                <c:pt idx="6">
                  <c:v>0.41211182442240241</c:v>
                </c:pt>
                <c:pt idx="7">
                  <c:v>0.35888687626313603</c:v>
                </c:pt>
                <c:pt idx="8">
                  <c:v>0.35744372336570401</c:v>
                </c:pt>
                <c:pt idx="9">
                  <c:v>0.35969261278847664</c:v>
                </c:pt>
                <c:pt idx="10">
                  <c:v>0.3433291524462056</c:v>
                </c:pt>
                <c:pt idx="11">
                  <c:v>0.32970749131508575</c:v>
                </c:pt>
                <c:pt idx="12">
                  <c:v>0.33513844197399301</c:v>
                </c:pt>
                <c:pt idx="13">
                  <c:v>0.30174286743556267</c:v>
                </c:pt>
                <c:pt idx="14">
                  <c:v>0.27782069301895035</c:v>
                </c:pt>
                <c:pt idx="15">
                  <c:v>0.27053117254183684</c:v>
                </c:pt>
                <c:pt idx="16">
                  <c:v>0.2651092142779794</c:v>
                </c:pt>
                <c:pt idx="17">
                  <c:v>0.26795565085747824</c:v>
                </c:pt>
                <c:pt idx="18">
                  <c:v>0.27805362318737675</c:v>
                </c:pt>
                <c:pt idx="19">
                  <c:v>0.26748111202722274</c:v>
                </c:pt>
                <c:pt idx="20">
                  <c:v>0.24334649472706307</c:v>
                </c:pt>
                <c:pt idx="21">
                  <c:v>0.25143813855783798</c:v>
                </c:pt>
                <c:pt idx="22">
                  <c:v>0.25668124962050376</c:v>
                </c:pt>
                <c:pt idx="23">
                  <c:v>0.27378846718319588</c:v>
                </c:pt>
                <c:pt idx="24">
                  <c:v>0.27103676711874003</c:v>
                </c:pt>
              </c:numCache>
            </c:numRef>
          </c:val>
          <c:smooth val="0"/>
          <c:extLst>
            <c:ext xmlns:c16="http://schemas.microsoft.com/office/drawing/2014/chart" uri="{C3380CC4-5D6E-409C-BE32-E72D297353CC}">
              <c16:uniqueId val="{00000003-F01F-4549-BDB9-3F1251CA4C8C}"/>
            </c:ext>
          </c:extLst>
        </c:ser>
        <c:ser>
          <c:idx val="3"/>
          <c:order val="3"/>
          <c:tx>
            <c:strRef>
              <c:f>граф!$A$34</c:f>
              <c:strCache>
                <c:ptCount val="1"/>
                <c:pt idx="0">
                  <c:v>VAR85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граф!$B$34:$Z$34</c:f>
              <c:numCache>
                <c:formatCode>General</c:formatCode>
                <c:ptCount val="25"/>
                <c:pt idx="20">
                  <c:v>0.23690860160192137</c:v>
                </c:pt>
                <c:pt idx="21">
                  <c:v>0.24428965857448146</c:v>
                </c:pt>
                <c:pt idx="22">
                  <c:v>0.24998231521978975</c:v>
                </c:pt>
                <c:pt idx="23">
                  <c:v>0.26641359246525709</c:v>
                </c:pt>
                <c:pt idx="24">
                  <c:v>0.26457762910696708</c:v>
                </c:pt>
              </c:numCache>
            </c:numRef>
          </c:val>
          <c:smooth val="0"/>
          <c:extLst>
            <c:ext xmlns:c16="http://schemas.microsoft.com/office/drawing/2014/chart" uri="{C3380CC4-5D6E-409C-BE32-E72D297353CC}">
              <c16:uniqueId val="{00000004-F01F-4549-BDB9-3F1251CA4C8C}"/>
            </c:ext>
          </c:extLst>
        </c:ser>
        <c:ser>
          <c:idx val="4"/>
          <c:order val="4"/>
          <c:tx>
            <c:strRef>
              <c:f>граф!$A$35</c:f>
              <c:strCache>
                <c:ptCount val="1"/>
                <c:pt idx="0">
                  <c:v>VAR84</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граф!$B$35:$Z$35</c:f>
              <c:numCache>
                <c:formatCode>General</c:formatCode>
                <c:ptCount val="25"/>
                <c:pt idx="20">
                  <c:v>0.23449454980680268</c:v>
                </c:pt>
                <c:pt idx="21">
                  <c:v>0.24229185290509769</c:v>
                </c:pt>
                <c:pt idx="22">
                  <c:v>0.24734424114519077</c:v>
                </c:pt>
                <c:pt idx="23">
                  <c:v>0.26382916847200455</c:v>
                </c:pt>
                <c:pt idx="24">
                  <c:v>0.26117756394184011</c:v>
                </c:pt>
              </c:numCache>
            </c:numRef>
          </c:val>
          <c:smooth val="0"/>
          <c:extLst>
            <c:ext xmlns:c16="http://schemas.microsoft.com/office/drawing/2014/chart" uri="{C3380CC4-5D6E-409C-BE32-E72D297353CC}">
              <c16:uniqueId val="{00000005-F01F-4549-BDB9-3F1251CA4C8C}"/>
            </c:ext>
          </c:extLst>
        </c:ser>
        <c:ser>
          <c:idx val="6"/>
          <c:order val="6"/>
          <c:tx>
            <c:strRef>
              <c:f>граф!$A$37</c:f>
              <c:strCache>
                <c:ptCount val="1"/>
                <c:pt idx="0">
                  <c:v>РД РФ (1994г.=1)</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граф!$B$30:$Z$30</c:f>
              <c:numCache>
                <c:formatCode>General</c:formatCode>
                <c:ptCount val="25"/>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numCache>
            </c:numRef>
          </c:cat>
          <c:val>
            <c:numRef>
              <c:f>граф!$B$37:$Z$37</c:f>
              <c:numCache>
                <c:formatCode>General</c:formatCode>
                <c:ptCount val="25"/>
                <c:pt idx="0">
                  <c:v>0.85</c:v>
                </c:pt>
                <c:pt idx="1">
                  <c:v>0.85509276216392593</c:v>
                </c:pt>
                <c:pt idx="2">
                  <c:v>0.90448614128924265</c:v>
                </c:pt>
                <c:pt idx="3">
                  <c:v>0.76091407737695405</c:v>
                </c:pt>
                <c:pt idx="4">
                  <c:v>0.66706446250453411</c:v>
                </c:pt>
                <c:pt idx="5">
                  <c:v>0.74732023804382819</c:v>
                </c:pt>
                <c:pt idx="6">
                  <c:v>0.81267905130806506</c:v>
                </c:pt>
                <c:pt idx="7">
                  <c:v>0.90310094446458267</c:v>
                </c:pt>
                <c:pt idx="8">
                  <c:v>1.0389465464855825</c:v>
                </c:pt>
                <c:pt idx="9">
                  <c:v>1.1469969873200832</c:v>
                </c:pt>
                <c:pt idx="10">
                  <c:v>1.2893882073257499</c:v>
                </c:pt>
                <c:pt idx="11">
                  <c:v>1.4630229978272209</c:v>
                </c:pt>
                <c:pt idx="12">
                  <c:v>1.6401801721352596</c:v>
                </c:pt>
                <c:pt idx="13">
                  <c:v>1.6788487493749076</c:v>
                </c:pt>
                <c:pt idx="14">
                  <c:v>1.7299689871312633</c:v>
                </c:pt>
                <c:pt idx="15">
                  <c:v>1.8313223409865904</c:v>
                </c:pt>
                <c:pt idx="16">
                  <c:v>1.8404789526915235</c:v>
                </c:pt>
                <c:pt idx="17">
                  <c:v>1.9251409845153336</c:v>
                </c:pt>
                <c:pt idx="18">
                  <c:v>2.0021466238959467</c:v>
                </c:pt>
                <c:pt idx="19">
                  <c:v>1.9781208644091952</c:v>
                </c:pt>
                <c:pt idx="20">
                  <c:v>1.9306459636633744</c:v>
                </c:pt>
                <c:pt idx="21">
                  <c:v>1.8437668952985227</c:v>
                </c:pt>
                <c:pt idx="22">
                  <c:v>1.8345480608220299</c:v>
                </c:pt>
                <c:pt idx="23">
                  <c:v>1.8363826088828517</c:v>
                </c:pt>
                <c:pt idx="24">
                  <c:v>1.8547464349716802</c:v>
                </c:pt>
              </c:numCache>
            </c:numRef>
          </c:val>
          <c:smooth val="0"/>
          <c:extLst>
            <c:ext xmlns:c16="http://schemas.microsoft.com/office/drawing/2014/chart" uri="{C3380CC4-5D6E-409C-BE32-E72D297353CC}">
              <c16:uniqueId val="{00000006-F01F-4549-BDB9-3F1251CA4C8C}"/>
            </c:ext>
          </c:extLst>
        </c:ser>
        <c:dLbls>
          <c:showLegendKey val="0"/>
          <c:showVal val="0"/>
          <c:showCatName val="0"/>
          <c:showSerName val="0"/>
          <c:showPercent val="0"/>
          <c:showBubbleSize val="0"/>
        </c:dLbls>
        <c:marker val="1"/>
        <c:smooth val="0"/>
        <c:axId val="640249344"/>
        <c:axId val="818348608"/>
      </c:lineChart>
      <c:catAx>
        <c:axId val="64024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818348608"/>
        <c:crosses val="autoZero"/>
        <c:auto val="1"/>
        <c:lblAlgn val="ctr"/>
        <c:lblOffset val="100"/>
        <c:noMultiLvlLbl val="0"/>
      </c:catAx>
      <c:valAx>
        <c:axId val="818348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249344"/>
        <c:crosses val="autoZero"/>
        <c:crossBetween val="between"/>
      </c:valAx>
      <c:valAx>
        <c:axId val="8183491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8298496"/>
        <c:crosses val="max"/>
        <c:crossBetween val="between"/>
      </c:valAx>
      <c:catAx>
        <c:axId val="648298496"/>
        <c:scaling>
          <c:orientation val="minMax"/>
        </c:scaling>
        <c:delete val="1"/>
        <c:axPos val="b"/>
        <c:numFmt formatCode="General" sourceLinked="1"/>
        <c:majorTickMark val="out"/>
        <c:minorTickMark val="none"/>
        <c:tickLblPos val="nextTo"/>
        <c:crossAx val="818349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Распределение регионов по децильным группам</a:t>
            </a:r>
          </a:p>
        </c:rich>
      </c:tx>
      <c:overlay val="0"/>
      <c:spPr>
        <a:noFill/>
        <a:ln>
          <a:noFill/>
        </a:ln>
        <a:effectLst/>
      </c:spPr>
    </c:title>
    <c:autoTitleDeleted val="0"/>
    <c:plotArea>
      <c:layout/>
      <c:barChart>
        <c:barDir val="bar"/>
        <c:grouping val="clustered"/>
        <c:varyColors val="0"/>
        <c:ser>
          <c:idx val="0"/>
          <c:order val="0"/>
          <c:tx>
            <c:strRef>
              <c:f>rang2019fntu!$B$182</c:f>
              <c:strCache>
                <c:ptCount val="1"/>
                <c:pt idx="0">
                  <c:v>ДД</c:v>
                </c:pt>
              </c:strCache>
            </c:strRef>
          </c:tx>
          <c:spPr>
            <a:solidFill>
              <a:schemeClr val="accent1"/>
            </a:solidFill>
            <a:ln>
              <a:noFill/>
            </a:ln>
            <a:effectLst/>
          </c:spPr>
          <c:invertIfNegative val="0"/>
          <c:cat>
            <c:strRef>
              <c:f>rang2019fntu!$A$183:$A$271</c:f>
              <c:strCache>
                <c:ptCount val="89"/>
                <c:pt idx="0">
                  <c:v>ЯНАО</c:v>
                </c:pt>
                <c:pt idx="1">
                  <c:v>НАО</c:v>
                </c:pt>
                <c:pt idx="2">
                  <c:v>г. Москва</c:v>
                </c:pt>
                <c:pt idx="3">
                  <c:v>Сахалинская область</c:v>
                </c:pt>
                <c:pt idx="4">
                  <c:v>Чукотский АО</c:v>
                </c:pt>
                <c:pt idx="5">
                  <c:v>Магаданская область</c:v>
                </c:pt>
                <c:pt idx="6">
                  <c:v>ХМАО-Югра</c:v>
                </c:pt>
                <c:pt idx="7">
                  <c:v>г. Санкт-Петербург</c:v>
                </c:pt>
                <c:pt idx="8">
                  <c:v>Московская область</c:v>
                </c:pt>
                <c:pt idx="9">
                  <c:v>Республика Татарстан</c:v>
                </c:pt>
                <c:pt idx="10">
                  <c:v>Свердловская область </c:v>
                </c:pt>
                <c:pt idx="12">
                  <c:v>Липецкая область</c:v>
                </c:pt>
                <c:pt idx="13">
                  <c:v>Мурманская область</c:v>
                </c:pt>
                <c:pt idx="14">
                  <c:v>Белгородская область</c:v>
                </c:pt>
                <c:pt idx="15">
                  <c:v>Р-ка Саха (Якутия)</c:v>
                </c:pt>
                <c:pt idx="16">
                  <c:v>Нижегородская область </c:v>
                </c:pt>
                <c:pt idx="17">
                  <c:v>Хабаровский край</c:v>
                </c:pt>
                <c:pt idx="18">
                  <c:v>Краснодарский край</c:v>
                </c:pt>
                <c:pt idx="19">
                  <c:v>Воронежская область</c:v>
                </c:pt>
                <c:pt idx="21">
                  <c:v>Камчатский край</c:v>
                </c:pt>
                <c:pt idx="22">
                  <c:v>Р-ка Башкортостан</c:v>
                </c:pt>
                <c:pt idx="23">
                  <c:v>Курская область</c:v>
                </c:pt>
                <c:pt idx="24">
                  <c:v>Республика Коми</c:v>
                </c:pt>
                <c:pt idx="25">
                  <c:v>Тюменская область</c:v>
                </c:pt>
                <c:pt idx="26">
                  <c:v>Пермский край</c:v>
                </c:pt>
                <c:pt idx="27">
                  <c:v>Тамбовская область</c:v>
                </c:pt>
                <c:pt idx="28">
                  <c:v>Новосибирская область </c:v>
                </c:pt>
                <c:pt idx="29">
                  <c:v>Приморский край</c:v>
                </c:pt>
                <c:pt idx="30">
                  <c:v>Амурская область</c:v>
                </c:pt>
                <c:pt idx="31">
                  <c:v>Республика Адыгея</c:v>
                </c:pt>
                <c:pt idx="32">
                  <c:v>Калужская область</c:v>
                </c:pt>
                <c:pt idx="33">
                  <c:v>Ростовская область</c:v>
                </c:pt>
                <c:pt idx="34">
                  <c:v>Самарская область</c:v>
                </c:pt>
                <c:pt idx="35">
                  <c:v>Красноярский край</c:v>
                </c:pt>
                <c:pt idx="36">
                  <c:v>Ленинградская область</c:v>
                </c:pt>
                <c:pt idx="37">
                  <c:v>Архангельская область</c:v>
                </c:pt>
                <c:pt idx="38">
                  <c:v>Омская область</c:v>
                </c:pt>
                <c:pt idx="39">
                  <c:v>г. Севастополь</c:v>
                </c:pt>
                <c:pt idx="40">
                  <c:v>Брянская область</c:v>
                </c:pt>
                <c:pt idx="41">
                  <c:v>Республика Дагестан</c:v>
                </c:pt>
                <c:pt idx="42">
                  <c:v>Орловская область</c:v>
                </c:pt>
                <c:pt idx="43">
                  <c:v>Ярославская область</c:v>
                </c:pt>
                <c:pt idx="44">
                  <c:v>Тульская область</c:v>
                </c:pt>
                <c:pt idx="45">
                  <c:v>Челябинская область</c:v>
                </c:pt>
                <c:pt idx="46">
                  <c:v>Смоленская область</c:v>
                </c:pt>
                <c:pt idx="47">
                  <c:v>Республика Карелия</c:v>
                </c:pt>
                <c:pt idx="48">
                  <c:v>Томская область</c:v>
                </c:pt>
                <c:pt idx="49">
                  <c:v>Тверская область</c:v>
                </c:pt>
                <c:pt idx="50">
                  <c:v>Вологодская область</c:v>
                </c:pt>
                <c:pt idx="52">
                  <c:v>Оренбургская область</c:v>
                </c:pt>
                <c:pt idx="53">
                  <c:v>Костромская область</c:v>
                </c:pt>
                <c:pt idx="54">
                  <c:v>Кемеровская область</c:v>
                </c:pt>
                <c:pt idx="55">
                  <c:v>Рязанская область</c:v>
                </c:pt>
                <c:pt idx="56">
                  <c:v>Новгородская область</c:v>
                </c:pt>
                <c:pt idx="57">
                  <c:v>Калининградская область</c:v>
                </c:pt>
                <c:pt idx="58">
                  <c:v>Р-ка Сев.Осетия – Алания</c:v>
                </c:pt>
                <c:pt idx="59">
                  <c:v>Иркутская область</c:v>
                </c:pt>
                <c:pt idx="60">
                  <c:v>Удмуртская Республика</c:v>
                </c:pt>
                <c:pt idx="61">
                  <c:v>Саратовская область</c:v>
                </c:pt>
                <c:pt idx="62">
                  <c:v>Астраханская область</c:v>
                </c:pt>
                <c:pt idx="63">
                  <c:v>Псковская область</c:v>
                </c:pt>
                <c:pt idx="64">
                  <c:v>Ивановская область</c:v>
                </c:pt>
                <c:pt idx="65">
                  <c:v>Волгоградская область</c:v>
                </c:pt>
                <c:pt idx="66">
                  <c:v>Забайкальский край</c:v>
                </c:pt>
                <c:pt idx="67">
                  <c:v>Пензенская область</c:v>
                </c:pt>
                <c:pt idx="68">
                  <c:v>Республика Бурятия</c:v>
                </c:pt>
                <c:pt idx="69">
                  <c:v>Алтайский край</c:v>
                </c:pt>
                <c:pt idx="70">
                  <c:v>Кировская область</c:v>
                </c:pt>
                <c:pt idx="71">
                  <c:v>Владимирская область</c:v>
                </c:pt>
                <c:pt idx="72">
                  <c:v>Ульяновская область</c:v>
                </c:pt>
                <c:pt idx="73">
                  <c:v>Ставропольский край</c:v>
                </c:pt>
                <c:pt idx="74">
                  <c:v>Чеченская Республика</c:v>
                </c:pt>
                <c:pt idx="75">
                  <c:v>Чувашская Республика</c:v>
                </c:pt>
                <c:pt idx="77">
                  <c:v>Республика Марий Эл</c:v>
                </c:pt>
                <c:pt idx="78">
                  <c:v>Республика Хакасия</c:v>
                </c:pt>
                <c:pt idx="79">
                  <c:v>Республика Крым</c:v>
                </c:pt>
                <c:pt idx="80">
                  <c:v>Кабардино-Балкарская Р-ка</c:v>
                </c:pt>
                <c:pt idx="81">
                  <c:v>Республика Мордовия</c:v>
                </c:pt>
                <c:pt idx="82">
                  <c:v>Еврейская авт.область</c:v>
                </c:pt>
                <c:pt idx="83">
                  <c:v>Курганская область</c:v>
                </c:pt>
                <c:pt idx="84">
                  <c:v>Карачаево-Черкесская Р-ка</c:v>
                </c:pt>
                <c:pt idx="85">
                  <c:v>Республика Алтай</c:v>
                </c:pt>
                <c:pt idx="86">
                  <c:v>Республика Ингушетия</c:v>
                </c:pt>
                <c:pt idx="87">
                  <c:v>Республика Калмыкия</c:v>
                </c:pt>
                <c:pt idx="88">
                  <c:v>Республика Тыва</c:v>
                </c:pt>
              </c:strCache>
            </c:strRef>
          </c:cat>
          <c:val>
            <c:numRef>
              <c:f>rang2019fntu!$B$183:$B$271</c:f>
              <c:numCache>
                <c:formatCode>General</c:formatCode>
                <c:ptCount val="89"/>
                <c:pt idx="0">
                  <c:v>1.9481876073152702</c:v>
                </c:pt>
                <c:pt idx="1">
                  <c:v>1.7962743283116294</c:v>
                </c:pt>
                <c:pt idx="2">
                  <c:v>1.4692119807448774</c:v>
                </c:pt>
                <c:pt idx="3">
                  <c:v>1.3952724108907615</c:v>
                </c:pt>
                <c:pt idx="4">
                  <c:v>1.359616812582729</c:v>
                </c:pt>
                <c:pt idx="5">
                  <c:v>1.3244693570678763</c:v>
                </c:pt>
                <c:pt idx="6">
                  <c:v>1.2793010872905159</c:v>
                </c:pt>
                <c:pt idx="7">
                  <c:v>1.2277445435527987</c:v>
                </c:pt>
                <c:pt idx="8">
                  <c:v>1.2174085737793288</c:v>
                </c:pt>
                <c:pt idx="9">
                  <c:v>1.1779659954566477</c:v>
                </c:pt>
                <c:pt idx="10">
                  <c:v>1.1675200427658643</c:v>
                </c:pt>
                <c:pt idx="12">
                  <c:v>1.0714749927587437</c:v>
                </c:pt>
                <c:pt idx="13">
                  <c:v>1.0636077694796</c:v>
                </c:pt>
                <c:pt idx="14">
                  <c:v>1.0430288070938338</c:v>
                </c:pt>
                <c:pt idx="15">
                  <c:v>1.0235701698804942</c:v>
                </c:pt>
                <c:pt idx="16">
                  <c:v>0.98910223842988465</c:v>
                </c:pt>
                <c:pt idx="17">
                  <c:v>0.98843861316762649</c:v>
                </c:pt>
                <c:pt idx="18">
                  <c:v>0.98260789804874948</c:v>
                </c:pt>
                <c:pt idx="19">
                  <c:v>0.96649239500690876</c:v>
                </c:pt>
                <c:pt idx="21">
                  <c:v>0.94583864395677075</c:v>
                </c:pt>
                <c:pt idx="22">
                  <c:v>0.94263341560983915</c:v>
                </c:pt>
                <c:pt idx="23">
                  <c:v>0.93976405471000768</c:v>
                </c:pt>
                <c:pt idx="24">
                  <c:v>0.93746959043906164</c:v>
                </c:pt>
                <c:pt idx="25">
                  <c:v>0.92544468851732675</c:v>
                </c:pt>
                <c:pt idx="26">
                  <c:v>0.92321121037009946</c:v>
                </c:pt>
                <c:pt idx="27">
                  <c:v>0.918118408381703</c:v>
                </c:pt>
                <c:pt idx="28">
                  <c:v>0.91191038281720138</c:v>
                </c:pt>
                <c:pt idx="29">
                  <c:v>0.90992634587464127</c:v>
                </c:pt>
                <c:pt idx="30">
                  <c:v>0.9085334049160757</c:v>
                </c:pt>
                <c:pt idx="31">
                  <c:v>0.90772279894758401</c:v>
                </c:pt>
                <c:pt idx="32">
                  <c:v>0.89968255769600569</c:v>
                </c:pt>
                <c:pt idx="33">
                  <c:v>0.89945506804849085</c:v>
                </c:pt>
                <c:pt idx="34">
                  <c:v>0.89753692146757846</c:v>
                </c:pt>
                <c:pt idx="35">
                  <c:v>0.89155821701839943</c:v>
                </c:pt>
                <c:pt idx="36">
                  <c:v>0.88986434430417682</c:v>
                </c:pt>
                <c:pt idx="37">
                  <c:v>0.88169388090287071</c:v>
                </c:pt>
                <c:pt idx="38">
                  <c:v>0.87944225464366577</c:v>
                </c:pt>
                <c:pt idx="39">
                  <c:v>0.86560844923258751</c:v>
                </c:pt>
                <c:pt idx="40">
                  <c:v>0.86550491142234021</c:v>
                </c:pt>
                <c:pt idx="41">
                  <c:v>0.86399788161640234</c:v>
                </c:pt>
                <c:pt idx="42">
                  <c:v>0.85984556825222136</c:v>
                </c:pt>
                <c:pt idx="43">
                  <c:v>0.8469396922669542</c:v>
                </c:pt>
                <c:pt idx="44">
                  <c:v>0.84395480466422679</c:v>
                </c:pt>
                <c:pt idx="45">
                  <c:v>0.83876510024603768</c:v>
                </c:pt>
                <c:pt idx="46">
                  <c:v>0.82662837157108293</c:v>
                </c:pt>
                <c:pt idx="47">
                  <c:v>0.82581630124014294</c:v>
                </c:pt>
                <c:pt idx="48">
                  <c:v>0.82163599970586587</c:v>
                </c:pt>
                <c:pt idx="49">
                  <c:v>0.82128613330001232</c:v>
                </c:pt>
                <c:pt idx="50">
                  <c:v>0.82027533968732613</c:v>
                </c:pt>
                <c:pt idx="52">
                  <c:v>0.81719094991814079</c:v>
                </c:pt>
                <c:pt idx="53">
                  <c:v>0.81518865564316234</c:v>
                </c:pt>
                <c:pt idx="54">
                  <c:v>0.81154701679999508</c:v>
                </c:pt>
                <c:pt idx="55">
                  <c:v>0.81147693873448723</c:v>
                </c:pt>
                <c:pt idx="56">
                  <c:v>0.81069949994964896</c:v>
                </c:pt>
                <c:pt idx="57">
                  <c:v>0.80398999330773246</c:v>
                </c:pt>
                <c:pt idx="58">
                  <c:v>0.79879627808871978</c:v>
                </c:pt>
                <c:pt idx="59">
                  <c:v>0.79397129920216536</c:v>
                </c:pt>
                <c:pt idx="60">
                  <c:v>0.79016969135277071</c:v>
                </c:pt>
                <c:pt idx="61">
                  <c:v>0.78737024496808938</c:v>
                </c:pt>
                <c:pt idx="62">
                  <c:v>0.78717495263584292</c:v>
                </c:pt>
                <c:pt idx="63">
                  <c:v>0.77036886797065574</c:v>
                </c:pt>
                <c:pt idx="64">
                  <c:v>0.77032311820490884</c:v>
                </c:pt>
                <c:pt idx="65">
                  <c:v>0.76154629393202888</c:v>
                </c:pt>
                <c:pt idx="66">
                  <c:v>0.76099857198248555</c:v>
                </c:pt>
                <c:pt idx="67">
                  <c:v>0.7490325254713126</c:v>
                </c:pt>
                <c:pt idx="68">
                  <c:v>0.74675386084867745</c:v>
                </c:pt>
                <c:pt idx="69">
                  <c:v>0.74628750260718935</c:v>
                </c:pt>
                <c:pt idx="70">
                  <c:v>0.74408223867752332</c:v>
                </c:pt>
                <c:pt idx="71">
                  <c:v>0.73411950532191772</c:v>
                </c:pt>
                <c:pt idx="72">
                  <c:v>0.73080533526750968</c:v>
                </c:pt>
                <c:pt idx="73">
                  <c:v>0.70540089386678151</c:v>
                </c:pt>
                <c:pt idx="74">
                  <c:v>0.69880024526620588</c:v>
                </c:pt>
                <c:pt idx="75">
                  <c:v>0.68097656403044105</c:v>
                </c:pt>
                <c:pt idx="77">
                  <c:v>0.67265557094478701</c:v>
                </c:pt>
                <c:pt idx="78">
                  <c:v>0.67053579028002386</c:v>
                </c:pt>
                <c:pt idx="79">
                  <c:v>0.66627544262818938</c:v>
                </c:pt>
                <c:pt idx="80">
                  <c:v>0.66222102158555574</c:v>
                </c:pt>
                <c:pt idx="81">
                  <c:v>0.65914662741426466</c:v>
                </c:pt>
                <c:pt idx="82">
                  <c:v>0.6562877383335739</c:v>
                </c:pt>
                <c:pt idx="83">
                  <c:v>0.64991423047976937</c:v>
                </c:pt>
                <c:pt idx="84">
                  <c:v>0.57416615339183896</c:v>
                </c:pt>
                <c:pt idx="85">
                  <c:v>0.56899723507119626</c:v>
                </c:pt>
                <c:pt idx="86">
                  <c:v>0.56114198168841112</c:v>
                </c:pt>
                <c:pt idx="87">
                  <c:v>0.55273087817850874</c:v>
                </c:pt>
                <c:pt idx="88">
                  <c:v>0.53463608766187709</c:v>
                </c:pt>
              </c:numCache>
            </c:numRef>
          </c:val>
          <c:extLst>
            <c:ext xmlns:c16="http://schemas.microsoft.com/office/drawing/2014/chart" uri="{C3380CC4-5D6E-409C-BE32-E72D297353CC}">
              <c16:uniqueId val="{00000000-9498-41BA-9C6D-563F12D2C7A0}"/>
            </c:ext>
          </c:extLst>
        </c:ser>
        <c:ser>
          <c:idx val="1"/>
          <c:order val="1"/>
          <c:tx>
            <c:strRef>
              <c:f>rang2019fntu!$C$182</c:f>
              <c:strCache>
                <c:ptCount val="1"/>
                <c:pt idx="0">
                  <c:v>Пенсии</c:v>
                </c:pt>
              </c:strCache>
            </c:strRef>
          </c:tx>
          <c:spPr>
            <a:solidFill>
              <a:schemeClr val="accent2"/>
            </a:solidFill>
            <a:ln>
              <a:noFill/>
            </a:ln>
            <a:effectLst/>
          </c:spPr>
          <c:invertIfNegative val="0"/>
          <c:cat>
            <c:strRef>
              <c:f>rang2019fntu!$A$183:$A$271</c:f>
              <c:strCache>
                <c:ptCount val="89"/>
                <c:pt idx="0">
                  <c:v>ЯНАО</c:v>
                </c:pt>
                <c:pt idx="1">
                  <c:v>НАО</c:v>
                </c:pt>
                <c:pt idx="2">
                  <c:v>г. Москва</c:v>
                </c:pt>
                <c:pt idx="3">
                  <c:v>Сахалинская область</c:v>
                </c:pt>
                <c:pt idx="4">
                  <c:v>Чукотский АО</c:v>
                </c:pt>
                <c:pt idx="5">
                  <c:v>Магаданская область</c:v>
                </c:pt>
                <c:pt idx="6">
                  <c:v>ХМАО-Югра</c:v>
                </c:pt>
                <c:pt idx="7">
                  <c:v>г. Санкт-Петербург</c:v>
                </c:pt>
                <c:pt idx="8">
                  <c:v>Московская область</c:v>
                </c:pt>
                <c:pt idx="9">
                  <c:v>Республика Татарстан</c:v>
                </c:pt>
                <c:pt idx="10">
                  <c:v>Свердловская область </c:v>
                </c:pt>
                <c:pt idx="12">
                  <c:v>Липецкая область</c:v>
                </c:pt>
                <c:pt idx="13">
                  <c:v>Мурманская область</c:v>
                </c:pt>
                <c:pt idx="14">
                  <c:v>Белгородская область</c:v>
                </c:pt>
                <c:pt idx="15">
                  <c:v>Р-ка Саха (Якутия)</c:v>
                </c:pt>
                <c:pt idx="16">
                  <c:v>Нижегородская область </c:v>
                </c:pt>
                <c:pt idx="17">
                  <c:v>Хабаровский край</c:v>
                </c:pt>
                <c:pt idx="18">
                  <c:v>Краснодарский край</c:v>
                </c:pt>
                <c:pt idx="19">
                  <c:v>Воронежская область</c:v>
                </c:pt>
                <c:pt idx="21">
                  <c:v>Камчатский край</c:v>
                </c:pt>
                <c:pt idx="22">
                  <c:v>Р-ка Башкортостан</c:v>
                </c:pt>
                <c:pt idx="23">
                  <c:v>Курская область</c:v>
                </c:pt>
                <c:pt idx="24">
                  <c:v>Республика Коми</c:v>
                </c:pt>
                <c:pt idx="25">
                  <c:v>Тюменская область</c:v>
                </c:pt>
                <c:pt idx="26">
                  <c:v>Пермский край</c:v>
                </c:pt>
                <c:pt idx="27">
                  <c:v>Тамбовская область</c:v>
                </c:pt>
                <c:pt idx="28">
                  <c:v>Новосибирская область </c:v>
                </c:pt>
                <c:pt idx="29">
                  <c:v>Приморский край</c:v>
                </c:pt>
                <c:pt idx="30">
                  <c:v>Амурская область</c:v>
                </c:pt>
                <c:pt idx="31">
                  <c:v>Республика Адыгея</c:v>
                </c:pt>
                <c:pt idx="32">
                  <c:v>Калужская область</c:v>
                </c:pt>
                <c:pt idx="33">
                  <c:v>Ростовская область</c:v>
                </c:pt>
                <c:pt idx="34">
                  <c:v>Самарская область</c:v>
                </c:pt>
                <c:pt idx="35">
                  <c:v>Красноярский край</c:v>
                </c:pt>
                <c:pt idx="36">
                  <c:v>Ленинградская область</c:v>
                </c:pt>
                <c:pt idx="37">
                  <c:v>Архангельская область</c:v>
                </c:pt>
                <c:pt idx="38">
                  <c:v>Омская область</c:v>
                </c:pt>
                <c:pt idx="39">
                  <c:v>г. Севастополь</c:v>
                </c:pt>
                <c:pt idx="40">
                  <c:v>Брянская область</c:v>
                </c:pt>
                <c:pt idx="41">
                  <c:v>Республика Дагестан</c:v>
                </c:pt>
                <c:pt idx="42">
                  <c:v>Орловская область</c:v>
                </c:pt>
                <c:pt idx="43">
                  <c:v>Ярославская область</c:v>
                </c:pt>
                <c:pt idx="44">
                  <c:v>Тульская область</c:v>
                </c:pt>
                <c:pt idx="45">
                  <c:v>Челябинская область</c:v>
                </c:pt>
                <c:pt idx="46">
                  <c:v>Смоленская область</c:v>
                </c:pt>
                <c:pt idx="47">
                  <c:v>Республика Карелия</c:v>
                </c:pt>
                <c:pt idx="48">
                  <c:v>Томская область</c:v>
                </c:pt>
                <c:pt idx="49">
                  <c:v>Тверская область</c:v>
                </c:pt>
                <c:pt idx="50">
                  <c:v>Вологодская область</c:v>
                </c:pt>
                <c:pt idx="52">
                  <c:v>Оренбургская область</c:v>
                </c:pt>
                <c:pt idx="53">
                  <c:v>Костромская область</c:v>
                </c:pt>
                <c:pt idx="54">
                  <c:v>Кемеровская область</c:v>
                </c:pt>
                <c:pt idx="55">
                  <c:v>Рязанская область</c:v>
                </c:pt>
                <c:pt idx="56">
                  <c:v>Новгородская область</c:v>
                </c:pt>
                <c:pt idx="57">
                  <c:v>Калининградская область</c:v>
                </c:pt>
                <c:pt idx="58">
                  <c:v>Р-ка Сев.Осетия – Алания</c:v>
                </c:pt>
                <c:pt idx="59">
                  <c:v>Иркутская область</c:v>
                </c:pt>
                <c:pt idx="60">
                  <c:v>Удмуртская Республика</c:v>
                </c:pt>
                <c:pt idx="61">
                  <c:v>Саратовская область</c:v>
                </c:pt>
                <c:pt idx="62">
                  <c:v>Астраханская область</c:v>
                </c:pt>
                <c:pt idx="63">
                  <c:v>Псковская область</c:v>
                </c:pt>
                <c:pt idx="64">
                  <c:v>Ивановская область</c:v>
                </c:pt>
                <c:pt idx="65">
                  <c:v>Волгоградская область</c:v>
                </c:pt>
                <c:pt idx="66">
                  <c:v>Забайкальский край</c:v>
                </c:pt>
                <c:pt idx="67">
                  <c:v>Пензенская область</c:v>
                </c:pt>
                <c:pt idx="68">
                  <c:v>Республика Бурятия</c:v>
                </c:pt>
                <c:pt idx="69">
                  <c:v>Алтайский край</c:v>
                </c:pt>
                <c:pt idx="70">
                  <c:v>Кировская область</c:v>
                </c:pt>
                <c:pt idx="71">
                  <c:v>Владимирская область</c:v>
                </c:pt>
                <c:pt idx="72">
                  <c:v>Ульяновская область</c:v>
                </c:pt>
                <c:pt idx="73">
                  <c:v>Ставропольский край</c:v>
                </c:pt>
                <c:pt idx="74">
                  <c:v>Чеченская Республика</c:v>
                </c:pt>
                <c:pt idx="75">
                  <c:v>Чувашская Республика</c:v>
                </c:pt>
                <c:pt idx="77">
                  <c:v>Республика Марий Эл</c:v>
                </c:pt>
                <c:pt idx="78">
                  <c:v>Республика Хакасия</c:v>
                </c:pt>
                <c:pt idx="79">
                  <c:v>Республика Крым</c:v>
                </c:pt>
                <c:pt idx="80">
                  <c:v>Кабардино-Балкарская Р-ка</c:v>
                </c:pt>
                <c:pt idx="81">
                  <c:v>Республика Мордовия</c:v>
                </c:pt>
                <c:pt idx="82">
                  <c:v>Еврейская авт.область</c:v>
                </c:pt>
                <c:pt idx="83">
                  <c:v>Курганская область</c:v>
                </c:pt>
                <c:pt idx="84">
                  <c:v>Карачаево-Черкесская Р-ка</c:v>
                </c:pt>
                <c:pt idx="85">
                  <c:v>Республика Алтай</c:v>
                </c:pt>
                <c:pt idx="86">
                  <c:v>Республика Ингушетия</c:v>
                </c:pt>
                <c:pt idx="87">
                  <c:v>Республика Калмыкия</c:v>
                </c:pt>
                <c:pt idx="88">
                  <c:v>Республика Тыва</c:v>
                </c:pt>
              </c:strCache>
            </c:strRef>
          </c:cat>
          <c:val>
            <c:numRef>
              <c:f>rang2019fntu!$C$183:$C$271</c:f>
              <c:numCache>
                <c:formatCode>General</c:formatCode>
                <c:ptCount val="89"/>
                <c:pt idx="0">
                  <c:v>1.221560507799726</c:v>
                </c:pt>
                <c:pt idx="1">
                  <c:v>1.1999627712381222</c:v>
                </c:pt>
                <c:pt idx="2">
                  <c:v>0.7539475132724317</c:v>
                </c:pt>
                <c:pt idx="3">
                  <c:v>1.1023850044910888</c:v>
                </c:pt>
                <c:pt idx="4">
                  <c:v>0.98995495869991534</c:v>
                </c:pt>
                <c:pt idx="5">
                  <c:v>1.0887513422614827</c:v>
                </c:pt>
                <c:pt idx="6">
                  <c:v>1.2529777000016828</c:v>
                </c:pt>
                <c:pt idx="7">
                  <c:v>1.0159272092318221</c:v>
                </c:pt>
                <c:pt idx="8">
                  <c:v>0.9749745361715294</c:v>
                </c:pt>
                <c:pt idx="9">
                  <c:v>1.1318697991048605</c:v>
                </c:pt>
                <c:pt idx="10">
                  <c:v>1.0933872761609029</c:v>
                </c:pt>
                <c:pt idx="12">
                  <c:v>1.1069681687901767</c:v>
                </c:pt>
                <c:pt idx="13">
                  <c:v>1.1445064890423045</c:v>
                </c:pt>
                <c:pt idx="14">
                  <c:v>1.1154123850904449</c:v>
                </c:pt>
                <c:pt idx="15">
                  <c:v>1.0637351901002448</c:v>
                </c:pt>
                <c:pt idx="16">
                  <c:v>1.0182075511699007</c:v>
                </c:pt>
                <c:pt idx="17">
                  <c:v>0.96970570954236179</c:v>
                </c:pt>
                <c:pt idx="18">
                  <c:v>0.89755223042107912</c:v>
                </c:pt>
                <c:pt idx="19">
                  <c:v>0.99103190433226618</c:v>
                </c:pt>
                <c:pt idx="21">
                  <c:v>0.95277804207680394</c:v>
                </c:pt>
                <c:pt idx="22">
                  <c:v>1.0471071016753712</c:v>
                </c:pt>
                <c:pt idx="23">
                  <c:v>1.0420024238986088</c:v>
                </c:pt>
                <c:pt idx="24">
                  <c:v>1.1828374579333216</c:v>
                </c:pt>
                <c:pt idx="25">
                  <c:v>1.1026050326345742</c:v>
                </c:pt>
                <c:pt idx="26">
                  <c:v>1.0614157641740873</c:v>
                </c:pt>
                <c:pt idx="27">
                  <c:v>1.0296900904249335</c:v>
                </c:pt>
                <c:pt idx="28">
                  <c:v>1.03314945994969</c:v>
                </c:pt>
                <c:pt idx="29">
                  <c:v>0.8849191912340526</c:v>
                </c:pt>
                <c:pt idx="30">
                  <c:v>0.97026608337060749</c:v>
                </c:pt>
                <c:pt idx="31">
                  <c:v>0.96572694076594223</c:v>
                </c:pt>
                <c:pt idx="32">
                  <c:v>1.0052302918563023</c:v>
                </c:pt>
                <c:pt idx="33">
                  <c:v>0.93903474976862245</c:v>
                </c:pt>
                <c:pt idx="34">
                  <c:v>1.0576552094341838</c:v>
                </c:pt>
                <c:pt idx="35">
                  <c:v>1.0575004458324149</c:v>
                </c:pt>
                <c:pt idx="36">
                  <c:v>0.99607161691586821</c:v>
                </c:pt>
                <c:pt idx="37">
                  <c:v>1.1401857241929376</c:v>
                </c:pt>
                <c:pt idx="38">
                  <c:v>1.0840559014210098</c:v>
                </c:pt>
                <c:pt idx="39">
                  <c:v>0.9876097523239773</c:v>
                </c:pt>
                <c:pt idx="40">
                  <c:v>1.0070256182681323</c:v>
                </c:pt>
                <c:pt idx="41">
                  <c:v>0.8590586047684331</c:v>
                </c:pt>
                <c:pt idx="42">
                  <c:v>1.1249435178252796</c:v>
                </c:pt>
                <c:pt idx="43">
                  <c:v>1.0563661182810948</c:v>
                </c:pt>
                <c:pt idx="44">
                  <c:v>1.0284445468727841</c:v>
                </c:pt>
                <c:pt idx="45">
                  <c:v>1.1517416299188965</c:v>
                </c:pt>
                <c:pt idx="46">
                  <c:v>1.0028757049701718</c:v>
                </c:pt>
                <c:pt idx="47">
                  <c:v>1.1590086244959232</c:v>
                </c:pt>
                <c:pt idx="48">
                  <c:v>1.1112188457853713</c:v>
                </c:pt>
                <c:pt idx="49">
                  <c:v>1.0335790607639781</c:v>
                </c:pt>
                <c:pt idx="50">
                  <c:v>1.0555023314105105</c:v>
                </c:pt>
                <c:pt idx="52">
                  <c:v>1.0862038759625252</c:v>
                </c:pt>
                <c:pt idx="53">
                  <c:v>1.0774583875917021</c:v>
                </c:pt>
                <c:pt idx="54">
                  <c:v>1.1484471918061676</c:v>
                </c:pt>
                <c:pt idx="55">
                  <c:v>1.0175861579917742</c:v>
                </c:pt>
                <c:pt idx="56">
                  <c:v>1.081913406406386</c:v>
                </c:pt>
                <c:pt idx="57">
                  <c:v>0.93137950116935153</c:v>
                </c:pt>
                <c:pt idx="58">
                  <c:v>1.0200721508484165</c:v>
                </c:pt>
                <c:pt idx="59">
                  <c:v>1.0961927838815682</c:v>
                </c:pt>
                <c:pt idx="60">
                  <c:v>1.090467861138688</c:v>
                </c:pt>
                <c:pt idx="61">
                  <c:v>1.1152197750881212</c:v>
                </c:pt>
                <c:pt idx="62">
                  <c:v>0.98622732788099399</c:v>
                </c:pt>
                <c:pt idx="63">
                  <c:v>1.007779189310706</c:v>
                </c:pt>
                <c:pt idx="64">
                  <c:v>1.0030678739111287</c:v>
                </c:pt>
                <c:pt idx="65">
                  <c:v>1.0491813611938416</c:v>
                </c:pt>
                <c:pt idx="66">
                  <c:v>0.96905580768685295</c:v>
                </c:pt>
                <c:pt idx="67">
                  <c:v>1.0579733534168954</c:v>
                </c:pt>
                <c:pt idx="68">
                  <c:v>0.97393100269465327</c:v>
                </c:pt>
                <c:pt idx="69">
                  <c:v>1.0117807309694986</c:v>
                </c:pt>
                <c:pt idx="70">
                  <c:v>1.0902314880474007</c:v>
                </c:pt>
                <c:pt idx="71">
                  <c:v>1.0032590542953814</c:v>
                </c:pt>
                <c:pt idx="72">
                  <c:v>1.0022475997854143</c:v>
                </c:pt>
                <c:pt idx="73">
                  <c:v>0.91642812280209207</c:v>
                </c:pt>
                <c:pt idx="74">
                  <c:v>0.89580577657243576</c:v>
                </c:pt>
                <c:pt idx="75">
                  <c:v>1.1006544157870211</c:v>
                </c:pt>
                <c:pt idx="77">
                  <c:v>1.0166997588994469</c:v>
                </c:pt>
                <c:pt idx="78">
                  <c:v>1.0230522857277928</c:v>
                </c:pt>
                <c:pt idx="79">
                  <c:v>0.94506938172263733</c:v>
                </c:pt>
                <c:pt idx="80">
                  <c:v>0.85448872500354556</c:v>
                </c:pt>
                <c:pt idx="81">
                  <c:v>1.0691850133898404</c:v>
                </c:pt>
                <c:pt idx="82">
                  <c:v>0.84656508789995877</c:v>
                </c:pt>
                <c:pt idx="83">
                  <c:v>0.99703694892663741</c:v>
                </c:pt>
                <c:pt idx="84">
                  <c:v>0.90721517423746789</c:v>
                </c:pt>
                <c:pt idx="85">
                  <c:v>0.8746038410393302</c:v>
                </c:pt>
                <c:pt idx="86">
                  <c:v>1.0134496288942467</c:v>
                </c:pt>
                <c:pt idx="87">
                  <c:v>0.89356492920003894</c:v>
                </c:pt>
                <c:pt idx="88">
                  <c:v>1.0838243447093256</c:v>
                </c:pt>
              </c:numCache>
            </c:numRef>
          </c:val>
          <c:extLst>
            <c:ext xmlns:c16="http://schemas.microsoft.com/office/drawing/2014/chart" uri="{C3380CC4-5D6E-409C-BE32-E72D297353CC}">
              <c16:uniqueId val="{00000001-9498-41BA-9C6D-563F12D2C7A0}"/>
            </c:ext>
          </c:extLst>
        </c:ser>
        <c:ser>
          <c:idx val="2"/>
          <c:order val="2"/>
          <c:tx>
            <c:strRef>
              <c:f>rang2019fntu!$D$182</c:f>
              <c:strCache>
                <c:ptCount val="1"/>
                <c:pt idx="0">
                  <c:v>Пособия</c:v>
                </c:pt>
              </c:strCache>
            </c:strRef>
          </c:tx>
          <c:spPr>
            <a:solidFill>
              <a:schemeClr val="accent3"/>
            </a:solidFill>
            <a:ln>
              <a:noFill/>
            </a:ln>
            <a:effectLst/>
          </c:spPr>
          <c:invertIfNegative val="0"/>
          <c:cat>
            <c:strRef>
              <c:f>rang2019fntu!$A$183:$A$271</c:f>
              <c:strCache>
                <c:ptCount val="89"/>
                <c:pt idx="0">
                  <c:v>ЯНАО</c:v>
                </c:pt>
                <c:pt idx="1">
                  <c:v>НАО</c:v>
                </c:pt>
                <c:pt idx="2">
                  <c:v>г. Москва</c:v>
                </c:pt>
                <c:pt idx="3">
                  <c:v>Сахалинская область</c:v>
                </c:pt>
                <c:pt idx="4">
                  <c:v>Чукотский АО</c:v>
                </c:pt>
                <c:pt idx="5">
                  <c:v>Магаданская область</c:v>
                </c:pt>
                <c:pt idx="6">
                  <c:v>ХМАО-Югра</c:v>
                </c:pt>
                <c:pt idx="7">
                  <c:v>г. Санкт-Петербург</c:v>
                </c:pt>
                <c:pt idx="8">
                  <c:v>Московская область</c:v>
                </c:pt>
                <c:pt idx="9">
                  <c:v>Республика Татарстан</c:v>
                </c:pt>
                <c:pt idx="10">
                  <c:v>Свердловская область </c:v>
                </c:pt>
                <c:pt idx="12">
                  <c:v>Липецкая область</c:v>
                </c:pt>
                <c:pt idx="13">
                  <c:v>Мурманская область</c:v>
                </c:pt>
                <c:pt idx="14">
                  <c:v>Белгородская область</c:v>
                </c:pt>
                <c:pt idx="15">
                  <c:v>Р-ка Саха (Якутия)</c:v>
                </c:pt>
                <c:pt idx="16">
                  <c:v>Нижегородская область </c:v>
                </c:pt>
                <c:pt idx="17">
                  <c:v>Хабаровский край</c:v>
                </c:pt>
                <c:pt idx="18">
                  <c:v>Краснодарский край</c:v>
                </c:pt>
                <c:pt idx="19">
                  <c:v>Воронежская область</c:v>
                </c:pt>
                <c:pt idx="21">
                  <c:v>Камчатский край</c:v>
                </c:pt>
                <c:pt idx="22">
                  <c:v>Р-ка Башкортостан</c:v>
                </c:pt>
                <c:pt idx="23">
                  <c:v>Курская область</c:v>
                </c:pt>
                <c:pt idx="24">
                  <c:v>Республика Коми</c:v>
                </c:pt>
                <c:pt idx="25">
                  <c:v>Тюменская область</c:v>
                </c:pt>
                <c:pt idx="26">
                  <c:v>Пермский край</c:v>
                </c:pt>
                <c:pt idx="27">
                  <c:v>Тамбовская область</c:v>
                </c:pt>
                <c:pt idx="28">
                  <c:v>Новосибирская область </c:v>
                </c:pt>
                <c:pt idx="29">
                  <c:v>Приморский край</c:v>
                </c:pt>
                <c:pt idx="30">
                  <c:v>Амурская область</c:v>
                </c:pt>
                <c:pt idx="31">
                  <c:v>Республика Адыгея</c:v>
                </c:pt>
                <c:pt idx="32">
                  <c:v>Калужская область</c:v>
                </c:pt>
                <c:pt idx="33">
                  <c:v>Ростовская область</c:v>
                </c:pt>
                <c:pt idx="34">
                  <c:v>Самарская область</c:v>
                </c:pt>
                <c:pt idx="35">
                  <c:v>Красноярский край</c:v>
                </c:pt>
                <c:pt idx="36">
                  <c:v>Ленинградская область</c:v>
                </c:pt>
                <c:pt idx="37">
                  <c:v>Архангельская область</c:v>
                </c:pt>
                <c:pt idx="38">
                  <c:v>Омская область</c:v>
                </c:pt>
                <c:pt idx="39">
                  <c:v>г. Севастополь</c:v>
                </c:pt>
                <c:pt idx="40">
                  <c:v>Брянская область</c:v>
                </c:pt>
                <c:pt idx="41">
                  <c:v>Республика Дагестан</c:v>
                </c:pt>
                <c:pt idx="42">
                  <c:v>Орловская область</c:v>
                </c:pt>
                <c:pt idx="43">
                  <c:v>Ярославская область</c:v>
                </c:pt>
                <c:pt idx="44">
                  <c:v>Тульская область</c:v>
                </c:pt>
                <c:pt idx="45">
                  <c:v>Челябинская область</c:v>
                </c:pt>
                <c:pt idx="46">
                  <c:v>Смоленская область</c:v>
                </c:pt>
                <c:pt idx="47">
                  <c:v>Республика Карелия</c:v>
                </c:pt>
                <c:pt idx="48">
                  <c:v>Томская область</c:v>
                </c:pt>
                <c:pt idx="49">
                  <c:v>Тверская область</c:v>
                </c:pt>
                <c:pt idx="50">
                  <c:v>Вологодская область</c:v>
                </c:pt>
                <c:pt idx="52">
                  <c:v>Оренбургская область</c:v>
                </c:pt>
                <c:pt idx="53">
                  <c:v>Костромская область</c:v>
                </c:pt>
                <c:pt idx="54">
                  <c:v>Кемеровская область</c:v>
                </c:pt>
                <c:pt idx="55">
                  <c:v>Рязанская область</c:v>
                </c:pt>
                <c:pt idx="56">
                  <c:v>Новгородская область</c:v>
                </c:pt>
                <c:pt idx="57">
                  <c:v>Калининградская область</c:v>
                </c:pt>
                <c:pt idx="58">
                  <c:v>Р-ка Сев.Осетия – Алания</c:v>
                </c:pt>
                <c:pt idx="59">
                  <c:v>Иркутская область</c:v>
                </c:pt>
                <c:pt idx="60">
                  <c:v>Удмуртская Республика</c:v>
                </c:pt>
                <c:pt idx="61">
                  <c:v>Саратовская область</c:v>
                </c:pt>
                <c:pt idx="62">
                  <c:v>Астраханская область</c:v>
                </c:pt>
                <c:pt idx="63">
                  <c:v>Псковская область</c:v>
                </c:pt>
                <c:pt idx="64">
                  <c:v>Ивановская область</c:v>
                </c:pt>
                <c:pt idx="65">
                  <c:v>Волгоградская область</c:v>
                </c:pt>
                <c:pt idx="66">
                  <c:v>Забайкальский край</c:v>
                </c:pt>
                <c:pt idx="67">
                  <c:v>Пензенская область</c:v>
                </c:pt>
                <c:pt idx="68">
                  <c:v>Республика Бурятия</c:v>
                </c:pt>
                <c:pt idx="69">
                  <c:v>Алтайский край</c:v>
                </c:pt>
                <c:pt idx="70">
                  <c:v>Кировская область</c:v>
                </c:pt>
                <c:pt idx="71">
                  <c:v>Владимирская область</c:v>
                </c:pt>
                <c:pt idx="72">
                  <c:v>Ульяновская область</c:v>
                </c:pt>
                <c:pt idx="73">
                  <c:v>Ставропольский край</c:v>
                </c:pt>
                <c:pt idx="74">
                  <c:v>Чеченская Республика</c:v>
                </c:pt>
                <c:pt idx="75">
                  <c:v>Чувашская Республика</c:v>
                </c:pt>
                <c:pt idx="77">
                  <c:v>Республика Марий Эл</c:v>
                </c:pt>
                <c:pt idx="78">
                  <c:v>Республика Хакасия</c:v>
                </c:pt>
                <c:pt idx="79">
                  <c:v>Республика Крым</c:v>
                </c:pt>
                <c:pt idx="80">
                  <c:v>Кабардино-Балкарская Р-ка</c:v>
                </c:pt>
                <c:pt idx="81">
                  <c:v>Республика Мордовия</c:v>
                </c:pt>
                <c:pt idx="82">
                  <c:v>Еврейская авт.область</c:v>
                </c:pt>
                <c:pt idx="83">
                  <c:v>Курганская область</c:v>
                </c:pt>
                <c:pt idx="84">
                  <c:v>Карачаево-Черкесская Р-ка</c:v>
                </c:pt>
                <c:pt idx="85">
                  <c:v>Республика Алтай</c:v>
                </c:pt>
                <c:pt idx="86">
                  <c:v>Республика Ингушетия</c:v>
                </c:pt>
                <c:pt idx="87">
                  <c:v>Республика Калмыкия</c:v>
                </c:pt>
                <c:pt idx="88">
                  <c:v>Республика Тыва</c:v>
                </c:pt>
              </c:strCache>
            </c:strRef>
          </c:cat>
          <c:val>
            <c:numRef>
              <c:f>rang2019fntu!$D$183:$D$271</c:f>
              <c:numCache>
                <c:formatCode>General</c:formatCode>
                <c:ptCount val="89"/>
                <c:pt idx="0">
                  <c:v>1.9320843239612098</c:v>
                </c:pt>
                <c:pt idx="1">
                  <c:v>3.0103105440742612</c:v>
                </c:pt>
                <c:pt idx="2">
                  <c:v>1.2527186559713115</c:v>
                </c:pt>
                <c:pt idx="3">
                  <c:v>2.0500875644180088</c:v>
                </c:pt>
                <c:pt idx="4">
                  <c:v>1.1025872700446084</c:v>
                </c:pt>
                <c:pt idx="5">
                  <c:v>1.0233756691779992</c:v>
                </c:pt>
                <c:pt idx="6">
                  <c:v>1.4740272309449047</c:v>
                </c:pt>
                <c:pt idx="7">
                  <c:v>1.2375303676277138</c:v>
                </c:pt>
                <c:pt idx="8">
                  <c:v>0.78777561410667751</c:v>
                </c:pt>
                <c:pt idx="9">
                  <c:v>0.88594213433077118</c:v>
                </c:pt>
                <c:pt idx="10">
                  <c:v>1.0856767207407896</c:v>
                </c:pt>
                <c:pt idx="12">
                  <c:v>0.97315243568768794</c:v>
                </c:pt>
                <c:pt idx="13">
                  <c:v>1.039189497232538</c:v>
                </c:pt>
                <c:pt idx="14">
                  <c:v>0.95690911813697543</c:v>
                </c:pt>
                <c:pt idx="15">
                  <c:v>1.1942233067259329</c:v>
                </c:pt>
                <c:pt idx="16">
                  <c:v>0.93804904706918479</c:v>
                </c:pt>
                <c:pt idx="17">
                  <c:v>1.0465054817614148</c:v>
                </c:pt>
                <c:pt idx="18">
                  <c:v>0.82335834498260219</c:v>
                </c:pt>
                <c:pt idx="19">
                  <c:v>0.83454534414555259</c:v>
                </c:pt>
                <c:pt idx="21">
                  <c:v>0.98086970484405867</c:v>
                </c:pt>
                <c:pt idx="22">
                  <c:v>0.90545208529863985</c:v>
                </c:pt>
                <c:pt idx="23">
                  <c:v>0.95711374193845711</c:v>
                </c:pt>
                <c:pt idx="24">
                  <c:v>1.0057409299158213</c:v>
                </c:pt>
                <c:pt idx="25">
                  <c:v>0.94820410895160401</c:v>
                </c:pt>
                <c:pt idx="26">
                  <c:v>0.94119870312613496</c:v>
                </c:pt>
                <c:pt idx="27">
                  <c:v>0.96546602301110196</c:v>
                </c:pt>
                <c:pt idx="28">
                  <c:v>1.0265281807801236</c:v>
                </c:pt>
                <c:pt idx="29">
                  <c:v>0.75501756882302129</c:v>
                </c:pt>
                <c:pt idx="30">
                  <c:v>0.99524607609854188</c:v>
                </c:pt>
                <c:pt idx="31">
                  <c:v>0.75459082643852138</c:v>
                </c:pt>
                <c:pt idx="32">
                  <c:v>1.0055720301064421</c:v>
                </c:pt>
                <c:pt idx="33">
                  <c:v>0.79234644627938111</c:v>
                </c:pt>
                <c:pt idx="34">
                  <c:v>0.97743211714741363</c:v>
                </c:pt>
                <c:pt idx="35">
                  <c:v>0.98288639825168045</c:v>
                </c:pt>
                <c:pt idx="36">
                  <c:v>0.70102808621387691</c:v>
                </c:pt>
                <c:pt idx="37">
                  <c:v>1.0092118391532148</c:v>
                </c:pt>
                <c:pt idx="38">
                  <c:v>0.91329230395722072</c:v>
                </c:pt>
                <c:pt idx="39">
                  <c:v>0.62477835817284999</c:v>
                </c:pt>
                <c:pt idx="40">
                  <c:v>0.9791642184313416</c:v>
                </c:pt>
                <c:pt idx="41">
                  <c:v>0.79395513489499625</c:v>
                </c:pt>
                <c:pt idx="42">
                  <c:v>1.1061210219017719</c:v>
                </c:pt>
                <c:pt idx="43">
                  <c:v>1.0339368680035299</c:v>
                </c:pt>
                <c:pt idx="44">
                  <c:v>0.99004712421268382</c:v>
                </c:pt>
                <c:pt idx="45">
                  <c:v>1.0649652122092039</c:v>
                </c:pt>
                <c:pt idx="46">
                  <c:v>0.83017613282246072</c:v>
                </c:pt>
                <c:pt idx="47">
                  <c:v>1.0724716549248079</c:v>
                </c:pt>
                <c:pt idx="48">
                  <c:v>0.93065385165493997</c:v>
                </c:pt>
                <c:pt idx="49">
                  <c:v>0.93212255472295136</c:v>
                </c:pt>
                <c:pt idx="50">
                  <c:v>1.2629822452065187</c:v>
                </c:pt>
                <c:pt idx="52">
                  <c:v>1.0043003431107882</c:v>
                </c:pt>
                <c:pt idx="53">
                  <c:v>1.0946930158756054</c:v>
                </c:pt>
                <c:pt idx="54">
                  <c:v>1.0136182986587037</c:v>
                </c:pt>
                <c:pt idx="55">
                  <c:v>1.0308891582206363</c:v>
                </c:pt>
                <c:pt idx="56">
                  <c:v>1.0400635590334348</c:v>
                </c:pt>
                <c:pt idx="57">
                  <c:v>0.8202571115046392</c:v>
                </c:pt>
                <c:pt idx="58">
                  <c:v>0.90507389448678988</c:v>
                </c:pt>
                <c:pt idx="59">
                  <c:v>1.0702394877180674</c:v>
                </c:pt>
                <c:pt idx="60">
                  <c:v>0.94661744072045717</c:v>
                </c:pt>
                <c:pt idx="61">
                  <c:v>0.80905837329532082</c:v>
                </c:pt>
                <c:pt idx="62">
                  <c:v>0.81645470766950812</c:v>
                </c:pt>
                <c:pt idx="63">
                  <c:v>0.88238085474577899</c:v>
                </c:pt>
                <c:pt idx="64">
                  <c:v>0.77020066976774393</c:v>
                </c:pt>
                <c:pt idx="65">
                  <c:v>0.81188717232147734</c:v>
                </c:pt>
                <c:pt idx="66">
                  <c:v>0.89660171920746812</c:v>
                </c:pt>
                <c:pt idx="67">
                  <c:v>0.83838166043284068</c:v>
                </c:pt>
                <c:pt idx="68">
                  <c:v>0.84553082656940204</c:v>
                </c:pt>
                <c:pt idx="69">
                  <c:v>0.99635490929864612</c:v>
                </c:pt>
                <c:pt idx="70">
                  <c:v>0.93422138148557488</c:v>
                </c:pt>
                <c:pt idx="71">
                  <c:v>0.89910760042764748</c:v>
                </c:pt>
                <c:pt idx="72">
                  <c:v>1.0049091961711465</c:v>
                </c:pt>
                <c:pt idx="73">
                  <c:v>0.90506985728503053</c:v>
                </c:pt>
                <c:pt idx="74">
                  <c:v>1.4714523955547552</c:v>
                </c:pt>
                <c:pt idx="75">
                  <c:v>0.84432001262715628</c:v>
                </c:pt>
                <c:pt idx="77">
                  <c:v>0.93664962668515872</c:v>
                </c:pt>
                <c:pt idx="78">
                  <c:v>0.81602638855251364</c:v>
                </c:pt>
                <c:pt idx="79">
                  <c:v>0.80563695912677602</c:v>
                </c:pt>
                <c:pt idx="80">
                  <c:v>0.66719854408129409</c:v>
                </c:pt>
                <c:pt idx="81">
                  <c:v>0.83479632364031076</c:v>
                </c:pt>
                <c:pt idx="82">
                  <c:v>0.85114574815966282</c:v>
                </c:pt>
                <c:pt idx="83">
                  <c:v>0.97763853962966063</c:v>
                </c:pt>
                <c:pt idx="84">
                  <c:v>0.98243340050582606</c:v>
                </c:pt>
                <c:pt idx="85">
                  <c:v>1.0679115625186633</c:v>
                </c:pt>
                <c:pt idx="86">
                  <c:v>1.3254123401984717</c:v>
                </c:pt>
                <c:pt idx="87">
                  <c:v>0.86763573097548874</c:v>
                </c:pt>
                <c:pt idx="88">
                  <c:v>1.1770808012164684</c:v>
                </c:pt>
              </c:numCache>
            </c:numRef>
          </c:val>
          <c:extLst>
            <c:ext xmlns:c16="http://schemas.microsoft.com/office/drawing/2014/chart" uri="{C3380CC4-5D6E-409C-BE32-E72D297353CC}">
              <c16:uniqueId val="{00000002-9498-41BA-9C6D-563F12D2C7A0}"/>
            </c:ext>
          </c:extLst>
        </c:ser>
        <c:ser>
          <c:idx val="3"/>
          <c:order val="3"/>
          <c:tx>
            <c:strRef>
              <c:f>rang2019fntu!$E$182</c:f>
              <c:strCache>
                <c:ptCount val="1"/>
                <c:pt idx="0">
                  <c:v>Расходы</c:v>
                </c:pt>
              </c:strCache>
            </c:strRef>
          </c:tx>
          <c:spPr>
            <a:solidFill>
              <a:schemeClr val="accent4"/>
            </a:solidFill>
            <a:ln>
              <a:noFill/>
            </a:ln>
            <a:effectLst/>
          </c:spPr>
          <c:invertIfNegative val="0"/>
          <c:cat>
            <c:strRef>
              <c:f>rang2019fntu!$A$183:$A$271</c:f>
              <c:strCache>
                <c:ptCount val="89"/>
                <c:pt idx="0">
                  <c:v>ЯНАО</c:v>
                </c:pt>
                <c:pt idx="1">
                  <c:v>НАО</c:v>
                </c:pt>
                <c:pt idx="2">
                  <c:v>г. Москва</c:v>
                </c:pt>
                <c:pt idx="3">
                  <c:v>Сахалинская область</c:v>
                </c:pt>
                <c:pt idx="4">
                  <c:v>Чукотский АО</c:v>
                </c:pt>
                <c:pt idx="5">
                  <c:v>Магаданская область</c:v>
                </c:pt>
                <c:pt idx="6">
                  <c:v>ХМАО-Югра</c:v>
                </c:pt>
                <c:pt idx="7">
                  <c:v>г. Санкт-Петербург</c:v>
                </c:pt>
                <c:pt idx="8">
                  <c:v>Московская область</c:v>
                </c:pt>
                <c:pt idx="9">
                  <c:v>Республика Татарстан</c:v>
                </c:pt>
                <c:pt idx="10">
                  <c:v>Свердловская область </c:v>
                </c:pt>
                <c:pt idx="12">
                  <c:v>Липецкая область</c:v>
                </c:pt>
                <c:pt idx="13">
                  <c:v>Мурманская область</c:v>
                </c:pt>
                <c:pt idx="14">
                  <c:v>Белгородская область</c:v>
                </c:pt>
                <c:pt idx="15">
                  <c:v>Р-ка Саха (Якутия)</c:v>
                </c:pt>
                <c:pt idx="16">
                  <c:v>Нижегородская область </c:v>
                </c:pt>
                <c:pt idx="17">
                  <c:v>Хабаровский край</c:v>
                </c:pt>
                <c:pt idx="18">
                  <c:v>Краснодарский край</c:v>
                </c:pt>
                <c:pt idx="19">
                  <c:v>Воронежская область</c:v>
                </c:pt>
                <c:pt idx="21">
                  <c:v>Камчатский край</c:v>
                </c:pt>
                <c:pt idx="22">
                  <c:v>Р-ка Башкортостан</c:v>
                </c:pt>
                <c:pt idx="23">
                  <c:v>Курская область</c:v>
                </c:pt>
                <c:pt idx="24">
                  <c:v>Республика Коми</c:v>
                </c:pt>
                <c:pt idx="25">
                  <c:v>Тюменская область</c:v>
                </c:pt>
                <c:pt idx="26">
                  <c:v>Пермский край</c:v>
                </c:pt>
                <c:pt idx="27">
                  <c:v>Тамбовская область</c:v>
                </c:pt>
                <c:pt idx="28">
                  <c:v>Новосибирская область </c:v>
                </c:pt>
                <c:pt idx="29">
                  <c:v>Приморский край</c:v>
                </c:pt>
                <c:pt idx="30">
                  <c:v>Амурская область</c:v>
                </c:pt>
                <c:pt idx="31">
                  <c:v>Республика Адыгея</c:v>
                </c:pt>
                <c:pt idx="32">
                  <c:v>Калужская область</c:v>
                </c:pt>
                <c:pt idx="33">
                  <c:v>Ростовская область</c:v>
                </c:pt>
                <c:pt idx="34">
                  <c:v>Самарская область</c:v>
                </c:pt>
                <c:pt idx="35">
                  <c:v>Красноярский край</c:v>
                </c:pt>
                <c:pt idx="36">
                  <c:v>Ленинградская область</c:v>
                </c:pt>
                <c:pt idx="37">
                  <c:v>Архангельская область</c:v>
                </c:pt>
                <c:pt idx="38">
                  <c:v>Омская область</c:v>
                </c:pt>
                <c:pt idx="39">
                  <c:v>г. Севастополь</c:v>
                </c:pt>
                <c:pt idx="40">
                  <c:v>Брянская область</c:v>
                </c:pt>
                <c:pt idx="41">
                  <c:v>Республика Дагестан</c:v>
                </c:pt>
                <c:pt idx="42">
                  <c:v>Орловская область</c:v>
                </c:pt>
                <c:pt idx="43">
                  <c:v>Ярославская область</c:v>
                </c:pt>
                <c:pt idx="44">
                  <c:v>Тульская область</c:v>
                </c:pt>
                <c:pt idx="45">
                  <c:v>Челябинская область</c:v>
                </c:pt>
                <c:pt idx="46">
                  <c:v>Смоленская область</c:v>
                </c:pt>
                <c:pt idx="47">
                  <c:v>Республика Карелия</c:v>
                </c:pt>
                <c:pt idx="48">
                  <c:v>Томская область</c:v>
                </c:pt>
                <c:pt idx="49">
                  <c:v>Тверская область</c:v>
                </c:pt>
                <c:pt idx="50">
                  <c:v>Вологодская область</c:v>
                </c:pt>
                <c:pt idx="52">
                  <c:v>Оренбургская область</c:v>
                </c:pt>
                <c:pt idx="53">
                  <c:v>Костромская область</c:v>
                </c:pt>
                <c:pt idx="54">
                  <c:v>Кемеровская область</c:v>
                </c:pt>
                <c:pt idx="55">
                  <c:v>Рязанская область</c:v>
                </c:pt>
                <c:pt idx="56">
                  <c:v>Новгородская область</c:v>
                </c:pt>
                <c:pt idx="57">
                  <c:v>Калининградская область</c:v>
                </c:pt>
                <c:pt idx="58">
                  <c:v>Р-ка Сев.Осетия – Алания</c:v>
                </c:pt>
                <c:pt idx="59">
                  <c:v>Иркутская область</c:v>
                </c:pt>
                <c:pt idx="60">
                  <c:v>Удмуртская Республика</c:v>
                </c:pt>
                <c:pt idx="61">
                  <c:v>Саратовская область</c:v>
                </c:pt>
                <c:pt idx="62">
                  <c:v>Астраханская область</c:v>
                </c:pt>
                <c:pt idx="63">
                  <c:v>Псковская область</c:v>
                </c:pt>
                <c:pt idx="64">
                  <c:v>Ивановская область</c:v>
                </c:pt>
                <c:pt idx="65">
                  <c:v>Волгоградская область</c:v>
                </c:pt>
                <c:pt idx="66">
                  <c:v>Забайкальский край</c:v>
                </c:pt>
                <c:pt idx="67">
                  <c:v>Пензенская область</c:v>
                </c:pt>
                <c:pt idx="68">
                  <c:v>Республика Бурятия</c:v>
                </c:pt>
                <c:pt idx="69">
                  <c:v>Алтайский край</c:v>
                </c:pt>
                <c:pt idx="70">
                  <c:v>Кировская область</c:v>
                </c:pt>
                <c:pt idx="71">
                  <c:v>Владимирская область</c:v>
                </c:pt>
                <c:pt idx="72">
                  <c:v>Ульяновская область</c:v>
                </c:pt>
                <c:pt idx="73">
                  <c:v>Ставропольский край</c:v>
                </c:pt>
                <c:pt idx="74">
                  <c:v>Чеченская Республика</c:v>
                </c:pt>
                <c:pt idx="75">
                  <c:v>Чувашская Республика</c:v>
                </c:pt>
                <c:pt idx="77">
                  <c:v>Республика Марий Эл</c:v>
                </c:pt>
                <c:pt idx="78">
                  <c:v>Республика Хакасия</c:v>
                </c:pt>
                <c:pt idx="79">
                  <c:v>Республика Крым</c:v>
                </c:pt>
                <c:pt idx="80">
                  <c:v>Кабардино-Балкарская Р-ка</c:v>
                </c:pt>
                <c:pt idx="81">
                  <c:v>Республика Мордовия</c:v>
                </c:pt>
                <c:pt idx="82">
                  <c:v>Еврейская авт.область</c:v>
                </c:pt>
                <c:pt idx="83">
                  <c:v>Курганская область</c:v>
                </c:pt>
                <c:pt idx="84">
                  <c:v>Карачаево-Черкесская Р-ка</c:v>
                </c:pt>
                <c:pt idx="85">
                  <c:v>Республика Алтай</c:v>
                </c:pt>
                <c:pt idx="86">
                  <c:v>Республика Ингушетия</c:v>
                </c:pt>
                <c:pt idx="87">
                  <c:v>Республика Калмыкия</c:v>
                </c:pt>
                <c:pt idx="88">
                  <c:v>Республика Тыва</c:v>
                </c:pt>
              </c:strCache>
            </c:strRef>
          </c:cat>
          <c:val>
            <c:numRef>
              <c:f>rang2019fntu!$E$183:$E$271</c:f>
              <c:numCache>
                <c:formatCode>General</c:formatCode>
                <c:ptCount val="89"/>
                <c:pt idx="0">
                  <c:v>1.0623332665673886</c:v>
                </c:pt>
                <c:pt idx="1">
                  <c:v>0.87186073059360736</c:v>
                </c:pt>
                <c:pt idx="2">
                  <c:v>1.4027033731986316</c:v>
                </c:pt>
                <c:pt idx="3">
                  <c:v>1.3430511649689734</c:v>
                </c:pt>
                <c:pt idx="4">
                  <c:v>0.64286262207849354</c:v>
                </c:pt>
                <c:pt idx="5">
                  <c:v>0.92503387023934969</c:v>
                </c:pt>
                <c:pt idx="6">
                  <c:v>1.0365654003917297</c:v>
                </c:pt>
                <c:pt idx="7">
                  <c:v>1.2558849972448063</c:v>
                </c:pt>
                <c:pt idx="8">
                  <c:v>1.2125043905865824</c:v>
                </c:pt>
                <c:pt idx="9">
                  <c:v>1.2296501417240508</c:v>
                </c:pt>
                <c:pt idx="10">
                  <c:v>1.2370177287264525</c:v>
                </c:pt>
                <c:pt idx="12">
                  <c:v>1.0969523202718487</c:v>
                </c:pt>
                <c:pt idx="13">
                  <c:v>0.96771504944247</c:v>
                </c:pt>
                <c:pt idx="14">
                  <c:v>1.040648848868027</c:v>
                </c:pt>
                <c:pt idx="15">
                  <c:v>0.96916274998466778</c:v>
                </c:pt>
                <c:pt idx="16">
                  <c:v>1.0047472651624609</c:v>
                </c:pt>
                <c:pt idx="17">
                  <c:v>1.0393662206716197</c:v>
                </c:pt>
                <c:pt idx="18">
                  <c:v>1.123887860155981</c:v>
                </c:pt>
                <c:pt idx="19">
                  <c:v>1.0426802382500431</c:v>
                </c:pt>
                <c:pt idx="21">
                  <c:v>0.78830481119366147</c:v>
                </c:pt>
                <c:pt idx="22">
                  <c:v>1.0088040805729908</c:v>
                </c:pt>
                <c:pt idx="23">
                  <c:v>0.91898968611297382</c:v>
                </c:pt>
                <c:pt idx="24">
                  <c:v>0.80881990880710619</c:v>
                </c:pt>
                <c:pt idx="25">
                  <c:v>1.1534724869029735</c:v>
                </c:pt>
                <c:pt idx="26">
                  <c:v>0.94784356807090708</c:v>
                </c:pt>
                <c:pt idx="27">
                  <c:v>0.93581063349603733</c:v>
                </c:pt>
                <c:pt idx="28">
                  <c:v>0.88521620172665605</c:v>
                </c:pt>
                <c:pt idx="29">
                  <c:v>0.92878850353537679</c:v>
                </c:pt>
                <c:pt idx="30">
                  <c:v>0.89186322985058486</c:v>
                </c:pt>
                <c:pt idx="31">
                  <c:v>0.92169509450858234</c:v>
                </c:pt>
                <c:pt idx="32">
                  <c:v>0.88911595760910833</c:v>
                </c:pt>
                <c:pt idx="33">
                  <c:v>0.96926046226992424</c:v>
                </c:pt>
                <c:pt idx="34">
                  <c:v>0.94897099757903991</c:v>
                </c:pt>
                <c:pt idx="35">
                  <c:v>0.87244867795525594</c:v>
                </c:pt>
                <c:pt idx="36">
                  <c:v>0.88101595615892736</c:v>
                </c:pt>
                <c:pt idx="37">
                  <c:v>0.93721702870879697</c:v>
                </c:pt>
                <c:pt idx="38">
                  <c:v>0.91566440172958841</c:v>
                </c:pt>
                <c:pt idx="39">
                  <c:v>0.92555339130681591</c:v>
                </c:pt>
                <c:pt idx="40">
                  <c:v>0.92419487028413239</c:v>
                </c:pt>
                <c:pt idx="41">
                  <c:v>0.9267845295242555</c:v>
                </c:pt>
                <c:pt idx="42">
                  <c:v>0.86974456996757088</c:v>
                </c:pt>
                <c:pt idx="43">
                  <c:v>0.84222427116262732</c:v>
                </c:pt>
                <c:pt idx="44">
                  <c:v>0.87599519962533667</c:v>
                </c:pt>
                <c:pt idx="45">
                  <c:v>0.79643198470850596</c:v>
                </c:pt>
                <c:pt idx="46">
                  <c:v>0.82311354243735479</c:v>
                </c:pt>
                <c:pt idx="47">
                  <c:v>0.85283416505954623</c:v>
                </c:pt>
                <c:pt idx="48">
                  <c:v>0.79145251356601654</c:v>
                </c:pt>
                <c:pt idx="49">
                  <c:v>0.80749426421242232</c:v>
                </c:pt>
                <c:pt idx="50">
                  <c:v>0.75338881601112517</c:v>
                </c:pt>
                <c:pt idx="52">
                  <c:v>0.8213392838695015</c:v>
                </c:pt>
                <c:pt idx="53">
                  <c:v>0.83033975157262829</c:v>
                </c:pt>
                <c:pt idx="54">
                  <c:v>0.76244806995869818</c:v>
                </c:pt>
                <c:pt idx="55">
                  <c:v>0.79191235268180771</c:v>
                </c:pt>
                <c:pt idx="56">
                  <c:v>0.89452170590210633</c:v>
                </c:pt>
                <c:pt idx="57">
                  <c:v>0.817372259757433</c:v>
                </c:pt>
                <c:pt idx="58">
                  <c:v>0.77577122924312347</c:v>
                </c:pt>
                <c:pt idx="59">
                  <c:v>0.73249930871615521</c:v>
                </c:pt>
                <c:pt idx="60">
                  <c:v>0.77005034539281114</c:v>
                </c:pt>
                <c:pt idx="61">
                  <c:v>0.79304702425317197</c:v>
                </c:pt>
                <c:pt idx="62">
                  <c:v>0.84135347149045769</c:v>
                </c:pt>
                <c:pt idx="63">
                  <c:v>0.81407080241239382</c:v>
                </c:pt>
                <c:pt idx="64">
                  <c:v>0.76227977742036868</c:v>
                </c:pt>
                <c:pt idx="65">
                  <c:v>0.81961518947820322</c:v>
                </c:pt>
                <c:pt idx="66">
                  <c:v>0.71464114272333457</c:v>
                </c:pt>
                <c:pt idx="67">
                  <c:v>0.78659124951047488</c:v>
                </c:pt>
                <c:pt idx="68">
                  <c:v>0.80417252078210988</c:v>
                </c:pt>
                <c:pt idx="69">
                  <c:v>0.70766606066922189</c:v>
                </c:pt>
                <c:pt idx="70">
                  <c:v>0.75467353549545324</c:v>
                </c:pt>
                <c:pt idx="71">
                  <c:v>0.749267040852168</c:v>
                </c:pt>
                <c:pt idx="72">
                  <c:v>0.73338067531039541</c:v>
                </c:pt>
                <c:pt idx="73">
                  <c:v>0.81862038809201243</c:v>
                </c:pt>
                <c:pt idx="74">
                  <c:v>0.60296194347074972</c:v>
                </c:pt>
                <c:pt idx="75">
                  <c:v>0.6884021610049007</c:v>
                </c:pt>
                <c:pt idx="77">
                  <c:v>0.63787240157103164</c:v>
                </c:pt>
                <c:pt idx="78">
                  <c:v>0.74833889474300441</c:v>
                </c:pt>
                <c:pt idx="79">
                  <c:v>0.66563141256724534</c:v>
                </c:pt>
                <c:pt idx="80">
                  <c:v>0.67748659916617027</c:v>
                </c:pt>
                <c:pt idx="81">
                  <c:v>0.62092191987437761</c:v>
                </c:pt>
                <c:pt idx="82">
                  <c:v>0.63954429529176404</c:v>
                </c:pt>
                <c:pt idx="83">
                  <c:v>0.6448969109154703</c:v>
                </c:pt>
                <c:pt idx="84">
                  <c:v>0.44687673498985914</c:v>
                </c:pt>
                <c:pt idx="85">
                  <c:v>0.51984545135230065</c:v>
                </c:pt>
                <c:pt idx="86">
                  <c:v>0.4092444845869504</c:v>
                </c:pt>
                <c:pt idx="87">
                  <c:v>0.41765108239513438</c:v>
                </c:pt>
                <c:pt idx="88">
                  <c:v>0.43997668997668998</c:v>
                </c:pt>
              </c:numCache>
            </c:numRef>
          </c:val>
          <c:extLst>
            <c:ext xmlns:c16="http://schemas.microsoft.com/office/drawing/2014/chart" uri="{C3380CC4-5D6E-409C-BE32-E72D297353CC}">
              <c16:uniqueId val="{00000003-9498-41BA-9C6D-563F12D2C7A0}"/>
            </c:ext>
          </c:extLst>
        </c:ser>
        <c:dLbls>
          <c:showLegendKey val="0"/>
          <c:showVal val="0"/>
          <c:showCatName val="0"/>
          <c:showSerName val="0"/>
          <c:showPercent val="0"/>
          <c:showBubbleSize val="0"/>
        </c:dLbls>
        <c:gapWidth val="182"/>
        <c:axId val="583486464"/>
        <c:axId val="818350912"/>
      </c:barChart>
      <c:catAx>
        <c:axId val="583486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ru-RU"/>
          </a:p>
        </c:txPr>
        <c:crossAx val="818350912"/>
        <c:crosses val="autoZero"/>
        <c:auto val="1"/>
        <c:lblAlgn val="ctr"/>
        <c:lblOffset val="100"/>
        <c:tickLblSkip val="1"/>
        <c:noMultiLvlLbl val="0"/>
      </c:catAx>
      <c:valAx>
        <c:axId val="81835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4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1714785651793"/>
          <c:y val="5.0925925925925923E-2"/>
          <c:w val="0.84273840769903774"/>
          <c:h val="0.58644284047827355"/>
        </c:manualLayout>
      </c:layout>
      <c:areaChart>
        <c:grouping val="stacked"/>
        <c:varyColors val="0"/>
        <c:ser>
          <c:idx val="0"/>
          <c:order val="0"/>
          <c:tx>
            <c:strRef>
              <c:f>Analit!$B$4</c:f>
              <c:strCache>
                <c:ptCount val="1"/>
                <c:pt idx="0">
                  <c:v>младше тр. возраста </c:v>
                </c:pt>
              </c:strCache>
            </c:strRef>
          </c:tx>
          <c:spPr>
            <a:solidFill>
              <a:schemeClr val="tx1">
                <a:lumMod val="65000"/>
                <a:lumOff val="35000"/>
              </a:schemeClr>
            </a:solidFill>
            <a:ln>
              <a:noFill/>
            </a:ln>
            <a:effectLst/>
          </c:spPr>
          <c:cat>
            <c:numRef>
              <c:f>Analit!$C$1:$W$1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Analit!$C$4:$W$4</c:f>
              <c:numCache>
                <c:formatCode>#,##0</c:formatCode>
                <c:ptCount val="21"/>
                <c:pt idx="0">
                  <c:v>496366</c:v>
                </c:pt>
                <c:pt idx="1">
                  <c:v>438776</c:v>
                </c:pt>
                <c:pt idx="2">
                  <c:v>354437</c:v>
                </c:pt>
                <c:pt idx="3">
                  <c:v>314855</c:v>
                </c:pt>
                <c:pt idx="4">
                  <c:v>298113</c:v>
                </c:pt>
                <c:pt idx="5">
                  <c:v>286879</c:v>
                </c:pt>
                <c:pt idx="6">
                  <c:v>287978</c:v>
                </c:pt>
                <c:pt idx="7">
                  <c:v>297469</c:v>
                </c:pt>
                <c:pt idx="8">
                  <c:v>324971</c:v>
                </c:pt>
                <c:pt idx="9">
                  <c:v>283575</c:v>
                </c:pt>
                <c:pt idx="10">
                  <c:v>239300</c:v>
                </c:pt>
                <c:pt idx="11">
                  <c:v>284629</c:v>
                </c:pt>
                <c:pt idx="12">
                  <c:v>494312</c:v>
                </c:pt>
                <c:pt idx="13">
                  <c:v>613477</c:v>
                </c:pt>
                <c:pt idx="14">
                  <c:v>684403</c:v>
                </c:pt>
                <c:pt idx="15">
                  <c:v>730593</c:v>
                </c:pt>
                <c:pt idx="16">
                  <c:v>797344</c:v>
                </c:pt>
                <c:pt idx="17">
                  <c:v>826782</c:v>
                </c:pt>
                <c:pt idx="18">
                  <c:v>862184</c:v>
                </c:pt>
                <c:pt idx="19">
                  <c:v>914183</c:v>
                </c:pt>
                <c:pt idx="20">
                  <c:v>890764</c:v>
                </c:pt>
              </c:numCache>
            </c:numRef>
          </c:val>
          <c:extLst>
            <c:ext xmlns:c16="http://schemas.microsoft.com/office/drawing/2014/chart" uri="{C3380CC4-5D6E-409C-BE32-E72D297353CC}">
              <c16:uniqueId val="{00000000-3784-4315-8231-F863A762A405}"/>
            </c:ext>
          </c:extLst>
        </c:ser>
        <c:ser>
          <c:idx val="1"/>
          <c:order val="1"/>
          <c:tx>
            <c:strRef>
              <c:f>Analit!$B$5</c:f>
              <c:strCache>
                <c:ptCount val="1"/>
                <c:pt idx="0">
                  <c:v>труд.возраста </c:v>
                </c:pt>
              </c:strCache>
            </c:strRef>
          </c:tx>
          <c:spPr>
            <a:solidFill>
              <a:schemeClr val="bg1">
                <a:lumMod val="65000"/>
              </a:schemeClr>
            </a:solidFill>
            <a:ln>
              <a:noFill/>
            </a:ln>
            <a:effectLst/>
          </c:spPr>
          <c:cat>
            <c:numRef>
              <c:f>Analit!$C$1:$W$1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Analit!$C$5:$W$5</c:f>
              <c:numCache>
                <c:formatCode>#,##0</c:formatCode>
                <c:ptCount val="21"/>
                <c:pt idx="0">
                  <c:v>2018428</c:v>
                </c:pt>
                <c:pt idx="1">
                  <c:v>1890504</c:v>
                </c:pt>
                <c:pt idx="2">
                  <c:v>1679312</c:v>
                </c:pt>
                <c:pt idx="3">
                  <c:v>1602225</c:v>
                </c:pt>
                <c:pt idx="4">
                  <c:v>1594768</c:v>
                </c:pt>
                <c:pt idx="5">
                  <c:v>1562626</c:v>
                </c:pt>
                <c:pt idx="6">
                  <c:v>1540789</c:v>
                </c:pt>
                <c:pt idx="7">
                  <c:v>1575226</c:v>
                </c:pt>
                <c:pt idx="8">
                  <c:v>1708623</c:v>
                </c:pt>
                <c:pt idx="9">
                  <c:v>1689386</c:v>
                </c:pt>
                <c:pt idx="10">
                  <c:v>1541576</c:v>
                </c:pt>
                <c:pt idx="11">
                  <c:v>1573880</c:v>
                </c:pt>
                <c:pt idx="12">
                  <c:v>2539712</c:v>
                </c:pt>
                <c:pt idx="13">
                  <c:v>3142787</c:v>
                </c:pt>
                <c:pt idx="14">
                  <c:v>3369043</c:v>
                </c:pt>
                <c:pt idx="15">
                  <c:v>3432570</c:v>
                </c:pt>
                <c:pt idx="16">
                  <c:v>3459239</c:v>
                </c:pt>
                <c:pt idx="17">
                  <c:v>3393347</c:v>
                </c:pt>
                <c:pt idx="18">
                  <c:v>3411984</c:v>
                </c:pt>
                <c:pt idx="19">
                  <c:v>3465809</c:v>
                </c:pt>
                <c:pt idx="20">
                  <c:v>3338321</c:v>
                </c:pt>
              </c:numCache>
            </c:numRef>
          </c:val>
          <c:extLst>
            <c:ext xmlns:c16="http://schemas.microsoft.com/office/drawing/2014/chart" uri="{C3380CC4-5D6E-409C-BE32-E72D297353CC}">
              <c16:uniqueId val="{00000001-3784-4315-8231-F863A762A405}"/>
            </c:ext>
          </c:extLst>
        </c:ser>
        <c:ser>
          <c:idx val="2"/>
          <c:order val="2"/>
          <c:tx>
            <c:strRef>
              <c:f>Analit!$B$6</c:f>
              <c:strCache>
                <c:ptCount val="1"/>
                <c:pt idx="0">
                  <c:v>старше тр.возраста </c:v>
                </c:pt>
              </c:strCache>
            </c:strRef>
          </c:tx>
          <c:spPr>
            <a:solidFill>
              <a:schemeClr val="bg1">
                <a:lumMod val="85000"/>
              </a:schemeClr>
            </a:solidFill>
            <a:ln>
              <a:noFill/>
            </a:ln>
            <a:effectLst/>
          </c:spPr>
          <c:cat>
            <c:numRef>
              <c:f>Analit!$C$1:$W$1</c:f>
              <c:numCache>
                <c:formatCode>General</c:formatCode>
                <c:ptCount val="21"/>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numCache>
            </c:numRef>
          </c:cat>
          <c:val>
            <c:numRef>
              <c:f>Analit!$C$6:$W$6</c:f>
              <c:numCache>
                <c:formatCode>#,##0</c:formatCode>
                <c:ptCount val="21"/>
                <c:pt idx="0">
                  <c:v>341937</c:v>
                </c:pt>
                <c:pt idx="1">
                  <c:v>333049</c:v>
                </c:pt>
                <c:pt idx="2">
                  <c:v>300285</c:v>
                </c:pt>
                <c:pt idx="3">
                  <c:v>284834</c:v>
                </c:pt>
                <c:pt idx="4">
                  <c:v>275287</c:v>
                </c:pt>
                <c:pt idx="5">
                  <c:v>267929</c:v>
                </c:pt>
                <c:pt idx="6">
                  <c:v>259872</c:v>
                </c:pt>
                <c:pt idx="7">
                  <c:v>249376</c:v>
                </c:pt>
                <c:pt idx="8">
                  <c:v>251342</c:v>
                </c:pt>
                <c:pt idx="9">
                  <c:v>242984</c:v>
                </c:pt>
                <c:pt idx="10">
                  <c:v>206722</c:v>
                </c:pt>
                <c:pt idx="11">
                  <c:v>243795</c:v>
                </c:pt>
                <c:pt idx="12">
                  <c:v>381031</c:v>
                </c:pt>
                <c:pt idx="13">
                  <c:v>439879</c:v>
                </c:pt>
                <c:pt idx="14">
                  <c:v>443415</c:v>
                </c:pt>
                <c:pt idx="15">
                  <c:v>461701</c:v>
                </c:pt>
                <c:pt idx="16">
                  <c:v>477940</c:v>
                </c:pt>
                <c:pt idx="17">
                  <c:v>486282</c:v>
                </c:pt>
                <c:pt idx="18">
                  <c:v>499332</c:v>
                </c:pt>
                <c:pt idx="19">
                  <c:v>531574</c:v>
                </c:pt>
                <c:pt idx="20">
                  <c:v>520684</c:v>
                </c:pt>
              </c:numCache>
            </c:numRef>
          </c:val>
          <c:extLst>
            <c:ext xmlns:c16="http://schemas.microsoft.com/office/drawing/2014/chart" uri="{C3380CC4-5D6E-409C-BE32-E72D297353CC}">
              <c16:uniqueId val="{00000002-3784-4315-8231-F863A762A405}"/>
            </c:ext>
          </c:extLst>
        </c:ser>
        <c:dLbls>
          <c:showLegendKey val="0"/>
          <c:showVal val="0"/>
          <c:showCatName val="0"/>
          <c:showSerName val="0"/>
          <c:showPercent val="0"/>
          <c:showBubbleSize val="0"/>
        </c:dLbls>
        <c:axId val="583884800"/>
        <c:axId val="818352064"/>
      </c:areaChart>
      <c:catAx>
        <c:axId val="583884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8352064"/>
        <c:crosses val="autoZero"/>
        <c:auto val="1"/>
        <c:lblAlgn val="ctr"/>
        <c:lblOffset val="100"/>
        <c:noMultiLvlLbl val="0"/>
      </c:catAx>
      <c:valAx>
        <c:axId val="818352064"/>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3884800"/>
        <c:crosses val="autoZero"/>
        <c:crossBetween val="midCat"/>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Млн.</a:t>
                  </a:r>
                  <a:r>
                    <a:rPr lang="ru-RU" baseline="0"/>
                    <a:t> перемещений</a:t>
                  </a:r>
                  <a:endParaRPr lang="ru-RU"/>
                </a:p>
              </c:rich>
            </c:tx>
            <c:spPr>
              <a:noFill/>
              <a:ln>
                <a:noFill/>
              </a:ln>
              <a:effectLst/>
            </c:spPr>
          </c:dispUnitsLbl>
        </c:dispUnits>
      </c:valAx>
      <c:spPr>
        <a:noFill/>
        <a:ln>
          <a:noFill/>
        </a:ln>
        <a:effectLst/>
      </c:spPr>
    </c:plotArea>
    <c:legend>
      <c:legendPos val="b"/>
      <c:layout>
        <c:manualLayout>
          <c:xMode val="edge"/>
          <c:yMode val="edge"/>
          <c:x val="0.30965616797900264"/>
          <c:y val="0.76909667541557303"/>
          <c:w val="0.41679877515310587"/>
          <c:h val="0.230903324584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2005</c:v>
          </c:tx>
          <c:spPr>
            <a:solidFill>
              <a:schemeClr val="bg1">
                <a:lumMod val="75000"/>
              </a:schemeClr>
            </a:solidFill>
            <a:ln>
              <a:noFill/>
            </a:ln>
            <a:effectLst/>
          </c:spPr>
          <c:invertIfNegative val="0"/>
          <c:cat>
            <c:strRef>
              <c:f>Analit!$B$13:$B$20</c:f>
              <c:strCache>
                <c:ptCount val="8"/>
                <c:pt idx="0">
                  <c:v>ЦФО</c:v>
                </c:pt>
                <c:pt idx="1">
                  <c:v>СЗФО</c:v>
                </c:pt>
                <c:pt idx="2">
                  <c:v>ЮФО</c:v>
                </c:pt>
                <c:pt idx="3">
                  <c:v>СКФО</c:v>
                </c:pt>
                <c:pt idx="4">
                  <c:v>ПФО</c:v>
                </c:pt>
                <c:pt idx="5">
                  <c:v>УФО</c:v>
                </c:pt>
                <c:pt idx="6">
                  <c:v>СФО</c:v>
                </c:pt>
                <c:pt idx="7">
                  <c:v>ДФО</c:v>
                </c:pt>
              </c:strCache>
            </c:strRef>
          </c:cat>
          <c:val>
            <c:numRef>
              <c:f>Analit!$I$13:$I$20</c:f>
              <c:numCache>
                <c:formatCode>#,##0</c:formatCode>
                <c:ptCount val="8"/>
                <c:pt idx="0">
                  <c:v>77768</c:v>
                </c:pt>
                <c:pt idx="1">
                  <c:v>3229</c:v>
                </c:pt>
                <c:pt idx="2">
                  <c:v>9085</c:v>
                </c:pt>
                <c:pt idx="3">
                  <c:v>-15237</c:v>
                </c:pt>
                <c:pt idx="4">
                  <c:v>-20658</c:v>
                </c:pt>
                <c:pt idx="5">
                  <c:v>-6240</c:v>
                </c:pt>
                <c:pt idx="6">
                  <c:v>-25669</c:v>
                </c:pt>
                <c:pt idx="7">
                  <c:v>-22278</c:v>
                </c:pt>
              </c:numCache>
            </c:numRef>
          </c:val>
          <c:extLst>
            <c:ext xmlns:c16="http://schemas.microsoft.com/office/drawing/2014/chart" uri="{C3380CC4-5D6E-409C-BE32-E72D297353CC}">
              <c16:uniqueId val="{00000000-9DBB-4307-A4E4-EAA4AEFE5C13}"/>
            </c:ext>
          </c:extLst>
        </c:ser>
        <c:ser>
          <c:idx val="1"/>
          <c:order val="1"/>
          <c:tx>
            <c:v>2019</c:v>
          </c:tx>
          <c:spPr>
            <a:solidFill>
              <a:schemeClr val="tx1">
                <a:lumMod val="50000"/>
                <a:lumOff val="50000"/>
              </a:schemeClr>
            </a:solidFill>
            <a:ln>
              <a:solidFill>
                <a:schemeClr val="tx1">
                  <a:lumMod val="50000"/>
                  <a:lumOff val="50000"/>
                </a:schemeClr>
              </a:solidFill>
            </a:ln>
            <a:effectLst/>
          </c:spPr>
          <c:invertIfNegative val="0"/>
          <c:cat>
            <c:strRef>
              <c:f>Analit!$B$13:$B$20</c:f>
              <c:strCache>
                <c:ptCount val="8"/>
                <c:pt idx="0">
                  <c:v>ЦФО</c:v>
                </c:pt>
                <c:pt idx="1">
                  <c:v>СЗФО</c:v>
                </c:pt>
                <c:pt idx="2">
                  <c:v>ЮФО</c:v>
                </c:pt>
                <c:pt idx="3">
                  <c:v>СКФО</c:v>
                </c:pt>
                <c:pt idx="4">
                  <c:v>ПФО</c:v>
                </c:pt>
                <c:pt idx="5">
                  <c:v>УФО</c:v>
                </c:pt>
                <c:pt idx="6">
                  <c:v>СФО</c:v>
                </c:pt>
                <c:pt idx="7">
                  <c:v>ДФО</c:v>
                </c:pt>
              </c:strCache>
            </c:strRef>
          </c:cat>
          <c:val>
            <c:numRef>
              <c:f>Analit!$W$13:$W$20</c:f>
              <c:numCache>
                <c:formatCode>#,##0</c:formatCode>
                <c:ptCount val="8"/>
                <c:pt idx="0">
                  <c:v>90512</c:v>
                </c:pt>
                <c:pt idx="1">
                  <c:v>39263</c:v>
                </c:pt>
                <c:pt idx="2">
                  <c:v>16243</c:v>
                </c:pt>
                <c:pt idx="3">
                  <c:v>-15670</c:v>
                </c:pt>
                <c:pt idx="4">
                  <c:v>-43521</c:v>
                </c:pt>
                <c:pt idx="5">
                  <c:v>-20508</c:v>
                </c:pt>
                <c:pt idx="6">
                  <c:v>-40257</c:v>
                </c:pt>
                <c:pt idx="7">
                  <c:v>-26062</c:v>
                </c:pt>
              </c:numCache>
            </c:numRef>
          </c:val>
          <c:extLst>
            <c:ext xmlns:c16="http://schemas.microsoft.com/office/drawing/2014/chart" uri="{C3380CC4-5D6E-409C-BE32-E72D297353CC}">
              <c16:uniqueId val="{00000001-9DBB-4307-A4E4-EAA4AEFE5C13}"/>
            </c:ext>
          </c:extLst>
        </c:ser>
        <c:dLbls>
          <c:showLegendKey val="0"/>
          <c:showVal val="0"/>
          <c:showCatName val="0"/>
          <c:showSerName val="0"/>
          <c:showPercent val="0"/>
          <c:showBubbleSize val="0"/>
        </c:dLbls>
        <c:gapWidth val="219"/>
        <c:overlap val="-27"/>
        <c:axId val="640248832"/>
        <c:axId val="818353792"/>
      </c:barChart>
      <c:catAx>
        <c:axId val="640248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8353792"/>
        <c:crosses val="autoZero"/>
        <c:auto val="1"/>
        <c:lblAlgn val="ctr"/>
        <c:lblOffset val="100"/>
        <c:noMultiLvlLbl val="0"/>
      </c:catAx>
      <c:valAx>
        <c:axId val="818353792"/>
        <c:scaling>
          <c:orientation val="minMax"/>
          <c:max val="100000"/>
        </c:scaling>
        <c:delete val="0"/>
        <c:axPos val="l"/>
        <c:majorGridlines>
          <c:spPr>
            <a:ln w="9525" cap="flat" cmpd="sng" algn="ctr">
              <a:solidFill>
                <a:schemeClr val="tx1">
                  <a:lumMod val="15000"/>
                  <a:lumOff val="85000"/>
                </a:schemeClr>
              </a:solidFill>
              <a:prstDash val="sys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40248832"/>
        <c:crosses val="autoZero"/>
        <c:crossBetween val="between"/>
        <c:majorUnit val="30000"/>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en-US"/>
                    <a:t>.</a:t>
                  </a:r>
                  <a:endParaRPr lang="ru-RU"/>
                </a:p>
              </c:rich>
            </c:tx>
            <c:spPr>
              <a:noFill/>
              <a:ln>
                <a:noFill/>
              </a:ln>
              <a:effectLst/>
            </c:spPr>
          </c:dispUnitsLbl>
        </c:dispUnits>
      </c:valAx>
      <c:spPr>
        <a:noFill/>
        <a:ln>
          <a:noFill/>
        </a:ln>
        <a:effectLst/>
      </c:spPr>
    </c:plotArea>
    <c:legend>
      <c:legendPos val="b"/>
      <c:layout>
        <c:manualLayout>
          <c:xMode val="edge"/>
          <c:yMode val="edge"/>
          <c:x val="0.40624496937882765"/>
          <c:y val="0.89409667541557303"/>
          <c:w val="0.2430656167979002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65000"/>
              </a:schemeClr>
            </a:solidFill>
            <a:ln>
              <a:solidFill>
                <a:schemeClr val="bg1">
                  <a:lumMod val="75000"/>
                </a:schemeClr>
              </a:solidFill>
            </a:ln>
            <a:effectLst/>
          </c:spPr>
          <c:invertIfNegative val="0"/>
          <c:val>
            <c:numRef>
              <c:f>Analit!$W$23:$W$107</c:f>
              <c:numCache>
                <c:formatCode>#,##0</c:formatCode>
                <c:ptCount val="85"/>
                <c:pt idx="0">
                  <c:v>70866</c:v>
                </c:pt>
                <c:pt idx="1">
                  <c:v>48406</c:v>
                </c:pt>
                <c:pt idx="2">
                  <c:v>34477</c:v>
                </c:pt>
                <c:pt idx="3">
                  <c:v>20023</c:v>
                </c:pt>
                <c:pt idx="4">
                  <c:v>19164</c:v>
                </c:pt>
                <c:pt idx="5">
                  <c:v>7483</c:v>
                </c:pt>
                <c:pt idx="6">
                  <c:v>4375</c:v>
                </c:pt>
                <c:pt idx="7">
                  <c:v>4182</c:v>
                </c:pt>
                <c:pt idx="8">
                  <c:v>3172</c:v>
                </c:pt>
                <c:pt idx="9">
                  <c:v>3132</c:v>
                </c:pt>
                <c:pt idx="10">
                  <c:v>2646</c:v>
                </c:pt>
                <c:pt idx="11">
                  <c:v>2566</c:v>
                </c:pt>
                <c:pt idx="12">
                  <c:v>2219</c:v>
                </c:pt>
                <c:pt idx="13">
                  <c:v>1569</c:v>
                </c:pt>
                <c:pt idx="14">
                  <c:v>1152</c:v>
                </c:pt>
                <c:pt idx="15">
                  <c:v>1149</c:v>
                </c:pt>
                <c:pt idx="16">
                  <c:v>498</c:v>
                </c:pt>
                <c:pt idx="17">
                  <c:v>303</c:v>
                </c:pt>
                <c:pt idx="18">
                  <c:v>263</c:v>
                </c:pt>
                <c:pt idx="19">
                  <c:v>-36</c:v>
                </c:pt>
                <c:pt idx="20">
                  <c:v>-210</c:v>
                </c:pt>
                <c:pt idx="21">
                  <c:v>-218</c:v>
                </c:pt>
                <c:pt idx="22">
                  <c:v>-498</c:v>
                </c:pt>
                <c:pt idx="23">
                  <c:v>-614</c:v>
                </c:pt>
                <c:pt idx="24">
                  <c:v>-621</c:v>
                </c:pt>
                <c:pt idx="25">
                  <c:v>-632</c:v>
                </c:pt>
                <c:pt idx="26">
                  <c:v>-708</c:v>
                </c:pt>
                <c:pt idx="27">
                  <c:v>-715</c:v>
                </c:pt>
                <c:pt idx="28">
                  <c:v>-846</c:v>
                </c:pt>
                <c:pt idx="29">
                  <c:v>-864</c:v>
                </c:pt>
                <c:pt idx="30">
                  <c:v>-1101</c:v>
                </c:pt>
                <c:pt idx="31">
                  <c:v>-1166</c:v>
                </c:pt>
                <c:pt idx="32">
                  <c:v>-1172</c:v>
                </c:pt>
                <c:pt idx="33">
                  <c:v>-1229</c:v>
                </c:pt>
                <c:pt idx="34">
                  <c:v>-1446</c:v>
                </c:pt>
                <c:pt idx="35">
                  <c:v>-1468</c:v>
                </c:pt>
                <c:pt idx="36">
                  <c:v>-1517</c:v>
                </c:pt>
                <c:pt idx="37">
                  <c:v>-1566</c:v>
                </c:pt>
                <c:pt idx="38">
                  <c:v>-1628</c:v>
                </c:pt>
                <c:pt idx="39">
                  <c:v>-1798</c:v>
                </c:pt>
                <c:pt idx="40">
                  <c:v>-1939</c:v>
                </c:pt>
                <c:pt idx="41">
                  <c:v>-2058</c:v>
                </c:pt>
                <c:pt idx="42">
                  <c:v>-2326</c:v>
                </c:pt>
                <c:pt idx="43">
                  <c:v>-2441</c:v>
                </c:pt>
                <c:pt idx="44">
                  <c:v>-2496</c:v>
                </c:pt>
                <c:pt idx="45">
                  <c:v>-2578</c:v>
                </c:pt>
                <c:pt idx="46">
                  <c:v>-2621</c:v>
                </c:pt>
                <c:pt idx="47">
                  <c:v>-2744</c:v>
                </c:pt>
                <c:pt idx="48">
                  <c:v>-2827</c:v>
                </c:pt>
                <c:pt idx="49">
                  <c:v>-2866</c:v>
                </c:pt>
                <c:pt idx="50">
                  <c:v>-2914</c:v>
                </c:pt>
                <c:pt idx="51">
                  <c:v>-2950</c:v>
                </c:pt>
                <c:pt idx="52">
                  <c:v>-2973</c:v>
                </c:pt>
                <c:pt idx="53">
                  <c:v>-3033</c:v>
                </c:pt>
                <c:pt idx="54">
                  <c:v>-3142</c:v>
                </c:pt>
                <c:pt idx="55">
                  <c:v>-3265</c:v>
                </c:pt>
                <c:pt idx="56">
                  <c:v>-3377</c:v>
                </c:pt>
                <c:pt idx="57">
                  <c:v>-3398</c:v>
                </c:pt>
                <c:pt idx="58">
                  <c:v>-3433</c:v>
                </c:pt>
                <c:pt idx="59">
                  <c:v>-3470</c:v>
                </c:pt>
                <c:pt idx="60">
                  <c:v>-3643</c:v>
                </c:pt>
                <c:pt idx="61">
                  <c:v>-3645</c:v>
                </c:pt>
                <c:pt idx="62">
                  <c:v>-3793</c:v>
                </c:pt>
                <c:pt idx="63">
                  <c:v>-3844</c:v>
                </c:pt>
                <c:pt idx="64">
                  <c:v>-3974</c:v>
                </c:pt>
                <c:pt idx="65">
                  <c:v>-4045</c:v>
                </c:pt>
                <c:pt idx="66">
                  <c:v>-4141</c:v>
                </c:pt>
                <c:pt idx="67">
                  <c:v>-4158</c:v>
                </c:pt>
                <c:pt idx="68">
                  <c:v>-4213</c:v>
                </c:pt>
                <c:pt idx="69">
                  <c:v>-4282</c:v>
                </c:pt>
                <c:pt idx="70">
                  <c:v>-5117</c:v>
                </c:pt>
                <c:pt idx="71">
                  <c:v>-5210</c:v>
                </c:pt>
                <c:pt idx="72">
                  <c:v>-5686</c:v>
                </c:pt>
                <c:pt idx="73">
                  <c:v>-5776</c:v>
                </c:pt>
                <c:pt idx="74">
                  <c:v>-6086</c:v>
                </c:pt>
                <c:pt idx="75">
                  <c:v>-6715</c:v>
                </c:pt>
                <c:pt idx="76">
                  <c:v>-6934</c:v>
                </c:pt>
                <c:pt idx="77">
                  <c:v>-7426</c:v>
                </c:pt>
                <c:pt idx="78">
                  <c:v>-7431</c:v>
                </c:pt>
                <c:pt idx="79">
                  <c:v>-7668</c:v>
                </c:pt>
                <c:pt idx="80">
                  <c:v>-8417</c:v>
                </c:pt>
                <c:pt idx="81">
                  <c:v>-8790</c:v>
                </c:pt>
                <c:pt idx="82">
                  <c:v>-9234</c:v>
                </c:pt>
                <c:pt idx="83">
                  <c:v>-9314</c:v>
                </c:pt>
                <c:pt idx="84">
                  <c:v>-11199</c:v>
                </c:pt>
              </c:numCache>
            </c:numRef>
          </c:val>
          <c:extLst>
            <c:ext xmlns:c16="http://schemas.microsoft.com/office/drawing/2014/chart" uri="{C3380CC4-5D6E-409C-BE32-E72D297353CC}">
              <c16:uniqueId val="{00000000-7C1D-49A4-BCCB-7C739FE6FC43}"/>
            </c:ext>
          </c:extLst>
        </c:ser>
        <c:dLbls>
          <c:showLegendKey val="0"/>
          <c:showVal val="0"/>
          <c:showCatName val="0"/>
          <c:showSerName val="0"/>
          <c:showPercent val="0"/>
          <c:showBubbleSize val="0"/>
        </c:dLbls>
        <c:gapWidth val="0"/>
        <c:overlap val="-27"/>
        <c:axId val="654684160"/>
        <c:axId val="818355520"/>
      </c:barChart>
      <c:catAx>
        <c:axId val="654684160"/>
        <c:scaling>
          <c:orientation val="minMax"/>
        </c:scaling>
        <c:delete val="1"/>
        <c:axPos val="b"/>
        <c:majorTickMark val="none"/>
        <c:minorTickMark val="none"/>
        <c:tickLblPos val="nextTo"/>
        <c:crossAx val="818355520"/>
        <c:crosses val="autoZero"/>
        <c:auto val="1"/>
        <c:lblAlgn val="ctr"/>
        <c:lblOffset val="100"/>
        <c:noMultiLvlLbl val="0"/>
      </c:catAx>
      <c:valAx>
        <c:axId val="818355520"/>
        <c:scaling>
          <c:orientation val="minMax"/>
        </c:scaling>
        <c:delete val="0"/>
        <c:axPos val="l"/>
        <c:majorGridlines>
          <c:spPr>
            <a:ln w="9525" cap="flat" cmpd="sng" algn="ctr">
              <a:solidFill>
                <a:schemeClr val="tx1">
                  <a:lumMod val="15000"/>
                  <a:lumOff val="85000"/>
                </a:schemeClr>
              </a:solidFill>
              <a:prstDash val="sysDot"/>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4684160"/>
        <c:crosses val="autoZero"/>
        <c:crossBetween val="between"/>
        <c:majorUnit val="20000"/>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p>
              </c:rich>
            </c:tx>
            <c:spPr>
              <a:noFill/>
              <a:ln>
                <a:noFill/>
              </a:ln>
              <a:effectLst/>
            </c:sp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535886466443104E-2"/>
          <c:y val="4.3521279631542675E-2"/>
          <c:w val="0.86809672524079529"/>
          <c:h val="0.59961108113463113"/>
        </c:manualLayout>
      </c:layout>
      <c:barChart>
        <c:barDir val="col"/>
        <c:grouping val="stacked"/>
        <c:varyColors val="0"/>
        <c:ser>
          <c:idx val="1"/>
          <c:order val="0"/>
          <c:tx>
            <c:v>Заняты в регионе проживания</c:v>
          </c:tx>
          <c:spPr>
            <a:solidFill>
              <a:schemeClr val="bg1">
                <a:lumMod val="50000"/>
              </a:schemeClr>
            </a:solidFill>
            <a:ln>
              <a:noFill/>
            </a:ln>
            <a:effectLst/>
          </c:spPr>
          <c:invertIfNegative val="0"/>
          <c:cat>
            <c:numRef>
              <c:f>Analit!$I$1:$W$1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Analit!$I$112:$W$112</c:f>
              <c:numCache>
                <c:formatCode>#\ ##0.0</c:formatCode>
                <c:ptCount val="15"/>
                <c:pt idx="0">
                  <c:v>67426192</c:v>
                </c:pt>
                <c:pt idx="1">
                  <c:v>68303035</c:v>
                </c:pt>
                <c:pt idx="2">
                  <c:v>69760803</c:v>
                </c:pt>
                <c:pt idx="3">
                  <c:v>69416963</c:v>
                </c:pt>
                <c:pt idx="4">
                  <c:v>67980258</c:v>
                </c:pt>
                <c:pt idx="5">
                  <c:v>68201608</c:v>
                </c:pt>
                <c:pt idx="6">
                  <c:v>68962498.793680996</c:v>
                </c:pt>
                <c:pt idx="7">
                  <c:v>69299508.867756993</c:v>
                </c:pt>
                <c:pt idx="8">
                  <c:v>69068365.581339002</c:v>
                </c:pt>
                <c:pt idx="9">
                  <c:v>69220584.101696998</c:v>
                </c:pt>
                <c:pt idx="10">
                  <c:v>69935662.219899997</c:v>
                </c:pt>
                <c:pt idx="11">
                  <c:v>69723927.404266</c:v>
                </c:pt>
                <c:pt idx="12">
                  <c:v>69306051.414631203</c:v>
                </c:pt>
                <c:pt idx="13">
                  <c:v>69350225.047874168</c:v>
                </c:pt>
                <c:pt idx="14">
                  <c:v>68836565.25834769</c:v>
                </c:pt>
              </c:numCache>
            </c:numRef>
          </c:val>
          <c:extLst>
            <c:ext xmlns:c16="http://schemas.microsoft.com/office/drawing/2014/chart" uri="{C3380CC4-5D6E-409C-BE32-E72D297353CC}">
              <c16:uniqueId val="{00000000-EB8D-47D9-BB45-FA20858EBF8F}"/>
            </c:ext>
          </c:extLst>
        </c:ser>
        <c:ser>
          <c:idx val="0"/>
          <c:order val="1"/>
          <c:tx>
            <c:v>Работали на терртории другого региона РФ</c:v>
          </c:tx>
          <c:spPr>
            <a:solidFill>
              <a:schemeClr val="bg1">
                <a:lumMod val="75000"/>
              </a:schemeClr>
            </a:solidFill>
            <a:ln>
              <a:noFill/>
            </a:ln>
            <a:effectLst/>
          </c:spPr>
          <c:invertIfNegative val="0"/>
          <c:cat>
            <c:numRef>
              <c:f>Analit!$I$1:$W$1</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Analit!$I$110:$W$110</c:f>
              <c:numCache>
                <c:formatCode>#,##0</c:formatCode>
                <c:ptCount val="15"/>
                <c:pt idx="0">
                  <c:v>912800</c:v>
                </c:pt>
                <c:pt idx="1">
                  <c:v>865700</c:v>
                </c:pt>
                <c:pt idx="2">
                  <c:v>1009500</c:v>
                </c:pt>
                <c:pt idx="3">
                  <c:v>1586100</c:v>
                </c:pt>
                <c:pt idx="4">
                  <c:v>1430200</c:v>
                </c:pt>
                <c:pt idx="5">
                  <c:v>1732100</c:v>
                </c:pt>
                <c:pt idx="6">
                  <c:v>1894114.2063190001</c:v>
                </c:pt>
                <c:pt idx="7">
                  <c:v>2245907.132243</c:v>
                </c:pt>
                <c:pt idx="8">
                  <c:v>2323094</c:v>
                </c:pt>
                <c:pt idx="9">
                  <c:v>2318459.4678869997</c:v>
                </c:pt>
                <c:pt idx="10">
                  <c:v>2387960.3125519999</c:v>
                </c:pt>
                <c:pt idx="11">
                  <c:v>2668700.7231109999</c:v>
                </c:pt>
                <c:pt idx="12">
                  <c:v>2835950.5853687935</c:v>
                </c:pt>
                <c:pt idx="13">
                  <c:v>3004192.9521258306</c:v>
                </c:pt>
                <c:pt idx="14">
                  <c:v>2927976.7416523062</c:v>
                </c:pt>
              </c:numCache>
            </c:numRef>
          </c:val>
          <c:extLst>
            <c:ext xmlns:c16="http://schemas.microsoft.com/office/drawing/2014/chart" uri="{C3380CC4-5D6E-409C-BE32-E72D297353CC}">
              <c16:uniqueId val="{00000001-EB8D-47D9-BB45-FA20858EBF8F}"/>
            </c:ext>
          </c:extLst>
        </c:ser>
        <c:dLbls>
          <c:showLegendKey val="0"/>
          <c:showVal val="0"/>
          <c:showCatName val="0"/>
          <c:showSerName val="0"/>
          <c:showPercent val="0"/>
          <c:showBubbleSize val="0"/>
        </c:dLbls>
        <c:gapWidth val="150"/>
        <c:overlap val="100"/>
        <c:axId val="584018432"/>
        <c:axId val="819356800"/>
      </c:barChart>
      <c:lineChart>
        <c:grouping val="standard"/>
        <c:varyColors val="0"/>
        <c:ser>
          <c:idx val="2"/>
          <c:order val="2"/>
          <c:tx>
            <c:v>Интенсивность трудовой миграции, % от занятых (правая шкала)</c:v>
          </c:tx>
          <c:spPr>
            <a:ln w="28575" cap="rnd">
              <a:solidFill>
                <a:schemeClr val="tx1">
                  <a:lumMod val="75000"/>
                  <a:lumOff val="25000"/>
                </a:schemeClr>
              </a:solidFill>
              <a:round/>
            </a:ln>
            <a:effectLst/>
          </c:spPr>
          <c:marker>
            <c:symbol val="none"/>
          </c:marker>
          <c:val>
            <c:numRef>
              <c:f>Analit!$I$113:$W$113</c:f>
              <c:numCache>
                <c:formatCode>0.00</c:formatCode>
                <c:ptCount val="15"/>
                <c:pt idx="0">
                  <c:v>1.3537765858110451</c:v>
                </c:pt>
                <c:pt idx="1">
                  <c:v>1.2674400193197857</c:v>
                </c:pt>
                <c:pt idx="2">
                  <c:v>1.4470877005243188</c:v>
                </c:pt>
                <c:pt idx="3">
                  <c:v>2.2848882052071335</c:v>
                </c:pt>
                <c:pt idx="4">
                  <c:v>2.1038460901398754</c:v>
                </c:pt>
                <c:pt idx="5">
                  <c:v>2.5396761906258867</c:v>
                </c:pt>
                <c:pt idx="6">
                  <c:v>2.7465858103340026</c:v>
                </c:pt>
                <c:pt idx="7">
                  <c:v>3.2408702008679806</c:v>
                </c:pt>
                <c:pt idx="8">
                  <c:v>3.3634703535357109</c:v>
                </c:pt>
                <c:pt idx="9">
                  <c:v>3.3493786537264438</c:v>
                </c:pt>
                <c:pt idx="10">
                  <c:v>3.4145101894416787</c:v>
                </c:pt>
                <c:pt idx="11">
                  <c:v>3.8275249580213941</c:v>
                </c:pt>
                <c:pt idx="12">
                  <c:v>4.09192347202469</c:v>
                </c:pt>
                <c:pt idx="13">
                  <c:v>4.3319152173651378</c:v>
                </c:pt>
                <c:pt idx="14">
                  <c:v>4.2535195221659254</c:v>
                </c:pt>
              </c:numCache>
            </c:numRef>
          </c:val>
          <c:smooth val="0"/>
          <c:extLst>
            <c:ext xmlns:c16="http://schemas.microsoft.com/office/drawing/2014/chart" uri="{C3380CC4-5D6E-409C-BE32-E72D297353CC}">
              <c16:uniqueId val="{00000002-EB8D-47D9-BB45-FA20858EBF8F}"/>
            </c:ext>
          </c:extLst>
        </c:ser>
        <c:dLbls>
          <c:showLegendKey val="0"/>
          <c:showVal val="0"/>
          <c:showCatName val="0"/>
          <c:showSerName val="0"/>
          <c:showPercent val="0"/>
          <c:showBubbleSize val="0"/>
        </c:dLbls>
        <c:marker val="1"/>
        <c:smooth val="0"/>
        <c:axId val="656442880"/>
        <c:axId val="819357376"/>
      </c:lineChart>
      <c:catAx>
        <c:axId val="5840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9356800"/>
        <c:crosses val="autoZero"/>
        <c:auto val="1"/>
        <c:lblAlgn val="ctr"/>
        <c:lblOffset val="100"/>
        <c:noMultiLvlLbl val="0"/>
      </c:catAx>
      <c:valAx>
        <c:axId val="819356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4018432"/>
        <c:crosses val="autoZero"/>
        <c:crossBetween val="between"/>
        <c:majorUnit val="2000000"/>
        <c:dispUnits>
          <c:builtInUnit val="millions"/>
        </c:dispUnits>
      </c:valAx>
      <c:valAx>
        <c:axId val="81935737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442880"/>
        <c:crosses val="max"/>
        <c:crossBetween val="between"/>
        <c:majorUnit val="1"/>
      </c:valAx>
      <c:catAx>
        <c:axId val="656442880"/>
        <c:scaling>
          <c:orientation val="minMax"/>
        </c:scaling>
        <c:delete val="1"/>
        <c:axPos val="b"/>
        <c:majorTickMark val="out"/>
        <c:minorTickMark val="none"/>
        <c:tickLblPos val="nextTo"/>
        <c:crossAx val="819357376"/>
        <c:crosses val="autoZero"/>
        <c:auto val="1"/>
        <c:lblAlgn val="ctr"/>
        <c:lblOffset val="100"/>
        <c:noMultiLvlLbl val="0"/>
      </c:catAx>
      <c:spPr>
        <a:noFill/>
        <a:ln>
          <a:noFill/>
        </a:ln>
        <a:effectLst/>
      </c:spPr>
    </c:plotArea>
    <c:legend>
      <c:legendPos val="b"/>
      <c:layout>
        <c:manualLayout>
          <c:xMode val="edge"/>
          <c:yMode val="edge"/>
          <c:x val="0.16517948741791982"/>
          <c:y val="0.75815876014509997"/>
          <c:w val="0.7405010310366722"/>
          <c:h val="0.222378183205045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2005</c:v>
          </c:tx>
          <c:spPr>
            <a:solidFill>
              <a:schemeClr val="bg1">
                <a:lumMod val="75000"/>
              </a:schemeClr>
            </a:solidFill>
            <a:ln>
              <a:noFill/>
            </a:ln>
            <a:effectLst/>
          </c:spPr>
          <c:invertIfNegative val="0"/>
          <c:cat>
            <c:strRef>
              <c:f>'Analit (2)'!$B$9:$B$16</c:f>
              <c:strCache>
                <c:ptCount val="8"/>
                <c:pt idx="0">
                  <c:v>ЦФО</c:v>
                </c:pt>
                <c:pt idx="1">
                  <c:v>СЗФО</c:v>
                </c:pt>
                <c:pt idx="2">
                  <c:v>ЮФО</c:v>
                </c:pt>
                <c:pt idx="3">
                  <c:v>СКФО</c:v>
                </c:pt>
                <c:pt idx="4">
                  <c:v>ПФО</c:v>
                </c:pt>
                <c:pt idx="5">
                  <c:v>УФО</c:v>
                </c:pt>
                <c:pt idx="6">
                  <c:v>СФО</c:v>
                </c:pt>
                <c:pt idx="7">
                  <c:v>ДФО</c:v>
                </c:pt>
              </c:strCache>
            </c:strRef>
          </c:cat>
          <c:val>
            <c:numRef>
              <c:f>'Analit (2)'!$I$9:$I$16</c:f>
              <c:numCache>
                <c:formatCode>#,##0</c:formatCode>
                <c:ptCount val="8"/>
                <c:pt idx="0">
                  <c:v>76300</c:v>
                </c:pt>
                <c:pt idx="1">
                  <c:v>10700</c:v>
                </c:pt>
                <c:pt idx="2">
                  <c:v>-16100</c:v>
                </c:pt>
                <c:pt idx="3">
                  <c:v>-9800</c:v>
                </c:pt>
                <c:pt idx="4">
                  <c:v>-127800</c:v>
                </c:pt>
                <c:pt idx="5">
                  <c:v>83900</c:v>
                </c:pt>
                <c:pt idx="6">
                  <c:v>-20500</c:v>
                </c:pt>
                <c:pt idx="7">
                  <c:v>3300</c:v>
                </c:pt>
              </c:numCache>
            </c:numRef>
          </c:val>
          <c:extLst>
            <c:ext xmlns:c16="http://schemas.microsoft.com/office/drawing/2014/chart" uri="{C3380CC4-5D6E-409C-BE32-E72D297353CC}">
              <c16:uniqueId val="{00000000-3270-4FCE-ABF6-039D50E6BC79}"/>
            </c:ext>
          </c:extLst>
        </c:ser>
        <c:ser>
          <c:idx val="1"/>
          <c:order val="1"/>
          <c:tx>
            <c:strRef>
              <c:f>'Analit (2)'!$W$1</c:f>
              <c:strCache>
                <c:ptCount val="1"/>
                <c:pt idx="0">
                  <c:v>2019</c:v>
                </c:pt>
              </c:strCache>
            </c:strRef>
          </c:tx>
          <c:spPr>
            <a:solidFill>
              <a:schemeClr val="tx1">
                <a:lumMod val="50000"/>
                <a:lumOff val="50000"/>
              </a:schemeClr>
            </a:solidFill>
          </c:spPr>
          <c:invertIfNegative val="0"/>
          <c:cat>
            <c:strRef>
              <c:f>'Analit (2)'!$B$9:$B$16</c:f>
              <c:strCache>
                <c:ptCount val="8"/>
                <c:pt idx="0">
                  <c:v>ЦФО</c:v>
                </c:pt>
                <c:pt idx="1">
                  <c:v>СЗФО</c:v>
                </c:pt>
                <c:pt idx="2">
                  <c:v>ЮФО</c:v>
                </c:pt>
                <c:pt idx="3">
                  <c:v>СКФО</c:v>
                </c:pt>
                <c:pt idx="4">
                  <c:v>ПФО</c:v>
                </c:pt>
                <c:pt idx="5">
                  <c:v>УФО</c:v>
                </c:pt>
                <c:pt idx="6">
                  <c:v>СФО</c:v>
                </c:pt>
                <c:pt idx="7">
                  <c:v>ДФО</c:v>
                </c:pt>
              </c:strCache>
            </c:strRef>
          </c:cat>
          <c:val>
            <c:numRef>
              <c:f>'Analit (2)'!$W$9:$W$16</c:f>
              <c:numCache>
                <c:formatCode>#,##0</c:formatCode>
                <c:ptCount val="8"/>
                <c:pt idx="0">
                  <c:v>420015.90307508549</c:v>
                </c:pt>
                <c:pt idx="1">
                  <c:v>64734.837617250683</c:v>
                </c:pt>
                <c:pt idx="2">
                  <c:v>-84247.302554999987</c:v>
                </c:pt>
                <c:pt idx="3">
                  <c:v>-95976.55099558318</c:v>
                </c:pt>
                <c:pt idx="4">
                  <c:v>-556291.10200816439</c:v>
                </c:pt>
                <c:pt idx="5">
                  <c:v>291784.63981566648</c:v>
                </c:pt>
                <c:pt idx="6">
                  <c:v>-96997.712420833253</c:v>
                </c:pt>
                <c:pt idx="7">
                  <c:v>56977.2874715832</c:v>
                </c:pt>
              </c:numCache>
            </c:numRef>
          </c:val>
          <c:extLst>
            <c:ext xmlns:c16="http://schemas.microsoft.com/office/drawing/2014/chart" uri="{C3380CC4-5D6E-409C-BE32-E72D297353CC}">
              <c16:uniqueId val="{00000001-3270-4FCE-ABF6-039D50E6BC79}"/>
            </c:ext>
          </c:extLst>
        </c:ser>
        <c:dLbls>
          <c:showLegendKey val="0"/>
          <c:showVal val="0"/>
          <c:showCatName val="0"/>
          <c:showSerName val="0"/>
          <c:showPercent val="0"/>
          <c:showBubbleSize val="0"/>
        </c:dLbls>
        <c:gapWidth val="219"/>
        <c:overlap val="-27"/>
        <c:axId val="656583168"/>
        <c:axId val="819359104"/>
      </c:barChart>
      <c:catAx>
        <c:axId val="6565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19359104"/>
        <c:crosses val="autoZero"/>
        <c:auto val="1"/>
        <c:lblAlgn val="ctr"/>
        <c:lblOffset val="100"/>
        <c:noMultiLvlLbl val="0"/>
      </c:catAx>
      <c:valAx>
        <c:axId val="819359104"/>
        <c:scaling>
          <c:orientation val="minMax"/>
          <c:max val="600000"/>
          <c:min val="-600000"/>
        </c:scaling>
        <c:delete val="0"/>
        <c:axPos val="l"/>
        <c:majorGridlines>
          <c:spPr>
            <a:ln w="9525" cap="flat" cmpd="sng" algn="ctr">
              <a:solidFill>
                <a:schemeClr val="tx1">
                  <a:lumMod val="15000"/>
                  <a:lumOff val="85000"/>
                </a:schemeClr>
              </a:solidFill>
              <a:prstDash val="sysDot"/>
              <a:round/>
            </a:ln>
            <a:effectLst/>
          </c:spPr>
        </c:majorGridlines>
        <c:numFmt formatCode="#,##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6583168"/>
        <c:crosses val="autoZero"/>
        <c:crossBetween val="between"/>
        <c:majorUnit val="200000"/>
        <c:dispUnits>
          <c:builtInUnit val="thousands"/>
          <c:dispUnitsLbl>
            <c:layout>
              <c:manualLayout>
                <c:xMode val="edge"/>
                <c:yMode val="edge"/>
                <c:x val="1.1111111111111112E-2"/>
                <c:y val="5.4120541205412057E-2"/>
              </c:manualLayout>
            </c:layout>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Тыс</a:t>
                  </a:r>
                  <a:r>
                    <a:rPr lang="en-US"/>
                    <a:t>.</a:t>
                  </a:r>
                  <a:r>
                    <a:rPr lang="ru-RU"/>
                    <a:t> чел.</a:t>
                  </a:r>
                </a:p>
              </c:rich>
            </c:tx>
            <c:spPr>
              <a:noFill/>
              <a:ln w="25400">
                <a:noFill/>
              </a:ln>
            </c:spPr>
          </c:dispUnitsLbl>
        </c:dispUnits>
      </c:valAx>
      <c:spPr>
        <a:noFill/>
        <a:ln w="25400">
          <a:noFill/>
        </a:ln>
      </c:spPr>
    </c:plotArea>
    <c:legend>
      <c:legendPos val="b"/>
      <c:layout>
        <c:manualLayout>
          <c:xMode val="edge"/>
          <c:yMode val="edge"/>
          <c:x val="0.40624496937882765"/>
          <c:y val="0.89409652206758294"/>
          <c:w val="0.24306561679790023"/>
          <c:h val="7.8125732438426798E-2"/>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rgbClr val="FFFFFF"/>
    </a:solidFill>
    <a:ln w="6350">
      <a:noFill/>
    </a:ln>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365046535677352E-2"/>
          <c:y val="3.5593220338983052E-2"/>
          <c:w val="0.91658048948638404"/>
          <c:h val="0.64399004451818886"/>
        </c:manualLayout>
      </c:layout>
      <c:lineChart>
        <c:grouping val="standard"/>
        <c:varyColors val="0"/>
        <c:ser>
          <c:idx val="0"/>
          <c:order val="0"/>
          <c:tx>
            <c:v>Доля структурных безработныз в общестрановой безработице в условиях отсутствия трудовой миграции</c:v>
          </c:tx>
          <c:spPr>
            <a:ln w="25400">
              <a:solidFill>
                <a:srgbClr val="000080"/>
              </a:solidFill>
              <a:prstDash val="sysDash"/>
            </a:ln>
          </c:spPr>
          <c:marker>
            <c:symbol val="diamond"/>
            <c:size val="7"/>
            <c:spPr>
              <a:solidFill>
                <a:srgbClr val="000080"/>
              </a:solidFill>
              <a:ln>
                <a:solidFill>
                  <a:srgbClr val="000080"/>
                </a:solidFill>
                <a:prstDash val="solid"/>
              </a:ln>
            </c:spPr>
          </c:marker>
          <c:cat>
            <c:numRef>
              <c:f>'\Ispol\Edinak\ИНП РАН\Считалки\My\Structura\StructUn\Obl\[Obl_Iv_Без_тр.мигр..xls]result'!$Q$4:$AE$4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'\Ispol\Edinak\ИНП РАН\Считалки\My\Structura\StructUn\Obl\[Obl_Iv_Без_тр.мигр..xls]result'!$Q$6:$AE$6</c:f>
              <c:numCache>
                <c:formatCode>General</c:formatCode>
                <c:ptCount val="15"/>
                <c:pt idx="0">
                  <c:v>0.51882400989102384</c:v>
                </c:pt>
                <c:pt idx="1">
                  <c:v>0.48904961314055767</c:v>
                </c:pt>
                <c:pt idx="2">
                  <c:v>0.47773882194023681</c:v>
                </c:pt>
                <c:pt idx="3">
                  <c:v>0.57116969876643364</c:v>
                </c:pt>
                <c:pt idx="4">
                  <c:v>0.56568895866158297</c:v>
                </c:pt>
                <c:pt idx="5">
                  <c:v>0.52472563704001618</c:v>
                </c:pt>
                <c:pt idx="6">
                  <c:v>0.50499867251026687</c:v>
                </c:pt>
                <c:pt idx="7">
                  <c:v>0.51345327520986006</c:v>
                </c:pt>
                <c:pt idx="8">
                  <c:v>0.5012114542406082</c:v>
                </c:pt>
                <c:pt idx="9">
                  <c:v>0.48420352564768038</c:v>
                </c:pt>
                <c:pt idx="10">
                  <c:v>0.50218076419655044</c:v>
                </c:pt>
                <c:pt idx="11">
                  <c:v>0.52225607818682218</c:v>
                </c:pt>
                <c:pt idx="12">
                  <c:v>0.55167076901842393</c:v>
                </c:pt>
                <c:pt idx="13">
                  <c:v>0.55401859281929189</c:v>
                </c:pt>
                <c:pt idx="14">
                  <c:v>0.54489779799593552</c:v>
                </c:pt>
              </c:numCache>
            </c:numRef>
          </c:val>
          <c:smooth val="0"/>
          <c:extLst>
            <c:ext xmlns:c16="http://schemas.microsoft.com/office/drawing/2014/chart" uri="{C3380CC4-5D6E-409C-BE32-E72D297353CC}">
              <c16:uniqueId val="{00000000-0998-4B09-9D21-40E5B4316B49}"/>
            </c:ext>
          </c:extLst>
        </c:ser>
        <c:ser>
          <c:idx val="1"/>
          <c:order val="1"/>
          <c:tx>
            <c:v>Фактическая доля структурных безработных в общестрановой безработице </c:v>
          </c:tx>
          <c:spPr>
            <a:ln w="38100">
              <a:solidFill>
                <a:srgbClr val="000000"/>
              </a:solidFill>
              <a:prstDash val="solid"/>
            </a:ln>
          </c:spPr>
          <c:marker>
            <c:symbol val="square"/>
            <c:size val="9"/>
            <c:spPr>
              <a:solidFill>
                <a:srgbClr val="000000"/>
              </a:solidFill>
              <a:ln>
                <a:solidFill>
                  <a:srgbClr val="000000"/>
                </a:solidFill>
                <a:prstDash val="solid"/>
              </a:ln>
            </c:spPr>
          </c:marker>
          <c:cat>
            <c:numRef>
              <c:f>'\Ispol\Edinak\ИНП РАН\Считалки\My\Structura\StructUn\Obl\[Obl_Iv_Без_тр.мигр..xls]result'!$Q$4:$AE$4</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'\Ispol\Edinak\ИНП РАН\Считалки\My\Structura\StructUn\Obl\[Obl_Iv.xls]result'!$Q$6:$AE$6</c:f>
              <c:numCache>
                <c:formatCode>General</c:formatCode>
                <c:ptCount val="15"/>
                <c:pt idx="0">
                  <c:v>0.3321985355604743</c:v>
                </c:pt>
                <c:pt idx="1">
                  <c:v>0.33459777494088105</c:v>
                </c:pt>
                <c:pt idx="2">
                  <c:v>0.34134712034235859</c:v>
                </c:pt>
                <c:pt idx="3">
                  <c:v>0.38532528417864503</c:v>
                </c:pt>
                <c:pt idx="4">
                  <c:v>0.37286030783871693</c:v>
                </c:pt>
                <c:pt idx="5">
                  <c:v>0.31490613944458784</c:v>
                </c:pt>
                <c:pt idx="6">
                  <c:v>0.26878576481239957</c:v>
                </c:pt>
                <c:pt idx="7">
                  <c:v>0.25878861869723646</c:v>
                </c:pt>
                <c:pt idx="8">
                  <c:v>0.24559434001480387</c:v>
                </c:pt>
                <c:pt idx="9">
                  <c:v>0.25430739320836609</c:v>
                </c:pt>
                <c:pt idx="10">
                  <c:v>0.26839326151739595</c:v>
                </c:pt>
                <c:pt idx="11">
                  <c:v>0.23923057252095734</c:v>
                </c:pt>
                <c:pt idx="12">
                  <c:v>0.24388216378047742</c:v>
                </c:pt>
                <c:pt idx="13">
                  <c:v>0.25036708005933062</c:v>
                </c:pt>
                <c:pt idx="14">
                  <c:v>0.24734517589291985</c:v>
                </c:pt>
              </c:numCache>
            </c:numRef>
          </c:val>
          <c:smooth val="0"/>
          <c:extLst>
            <c:ext xmlns:c16="http://schemas.microsoft.com/office/drawing/2014/chart" uri="{C3380CC4-5D6E-409C-BE32-E72D297353CC}">
              <c16:uniqueId val="{00000001-0998-4B09-9D21-40E5B4316B49}"/>
            </c:ext>
          </c:extLst>
        </c:ser>
        <c:dLbls>
          <c:showLegendKey val="0"/>
          <c:showVal val="0"/>
          <c:showCatName val="0"/>
          <c:showSerName val="0"/>
          <c:showPercent val="0"/>
          <c:showBubbleSize val="0"/>
        </c:dLbls>
        <c:marker val="1"/>
        <c:smooth val="0"/>
        <c:axId val="591046144"/>
        <c:axId val="819360832"/>
      </c:lineChart>
      <c:catAx>
        <c:axId val="5910461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819360832"/>
        <c:crosses val="autoZero"/>
        <c:auto val="1"/>
        <c:lblAlgn val="ctr"/>
        <c:lblOffset val="100"/>
        <c:tickLblSkip val="1"/>
        <c:tickMarkSkip val="1"/>
        <c:noMultiLvlLbl val="0"/>
      </c:catAx>
      <c:valAx>
        <c:axId val="819360832"/>
        <c:scaling>
          <c:orientation val="minMax"/>
          <c:min val="0.2"/>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591046144"/>
        <c:crosses val="autoZero"/>
        <c:crossBetween val="between"/>
        <c:majorUnit val="0.1"/>
      </c:valAx>
      <c:spPr>
        <a:solidFill>
          <a:srgbClr val="FFFFFF"/>
        </a:solidFill>
        <a:ln w="12700">
          <a:solidFill>
            <a:srgbClr val="808080"/>
          </a:solidFill>
          <a:prstDash val="solid"/>
        </a:ln>
      </c:spPr>
    </c:plotArea>
    <c:legend>
      <c:legendPos val="b"/>
      <c:layout>
        <c:manualLayout>
          <c:xMode val="edge"/>
          <c:yMode val="edge"/>
          <c:x val="4.7263614909724111E-2"/>
          <c:y val="0.79440337478981637"/>
          <c:w val="0.9265100651110697"/>
          <c:h val="0.20559662521018363"/>
        </c:manualLayout>
      </c:layout>
      <c:overlay val="0"/>
      <c:spPr>
        <a:solidFill>
          <a:srgbClr val="FFFFFF"/>
        </a:solidFill>
        <a:ln w="25400">
          <a:noFill/>
        </a:ln>
      </c:spPr>
      <c:txPr>
        <a:bodyPr/>
        <a:lstStyle/>
        <a:p>
          <a:pPr>
            <a:defRPr sz="1000" b="0" i="0" u="none" strike="noStrike" baseline="0">
              <a:solidFill>
                <a:srgbClr val="000000"/>
              </a:solidFill>
              <a:latin typeface="+mj-lt"/>
              <a:ea typeface="Arial"/>
              <a:cs typeface="Arial"/>
            </a:defRPr>
          </a:pPr>
          <a:endParaRPr lang="ru-RU"/>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manualLayout>
          <c:layoutTarget val="inner"/>
          <c:xMode val="edge"/>
          <c:yMode val="edge"/>
          <c:x val="8.5666436458096545E-2"/>
          <c:y val="2.4528294547005863E-2"/>
          <c:w val="0.85658367602835073"/>
          <c:h val="0.81459485564304457"/>
        </c:manualLayout>
      </c:layout>
      <c:lineChart>
        <c:grouping val="standard"/>
        <c:varyColors val="0"/>
        <c:ser>
          <c:idx val="1"/>
          <c:order val="0"/>
          <c:spPr>
            <a:ln>
              <a:solidFill>
                <a:schemeClr val="tx1"/>
              </a:solidFill>
            </a:ln>
          </c:spPr>
          <c:marker>
            <c:symbol val="none"/>
          </c:marker>
          <c:cat>
            <c:numRef>
              <c:f>Расчеты!$C$94:$J$94</c:f>
              <c:numCache>
                <c:formatCode>General</c:formatCode>
                <c:ptCount val="8"/>
                <c:pt idx="0">
                  <c:v>2011</c:v>
                </c:pt>
                <c:pt idx="1">
                  <c:v>2012</c:v>
                </c:pt>
                <c:pt idx="2">
                  <c:v>2013</c:v>
                </c:pt>
                <c:pt idx="3">
                  <c:v>2014</c:v>
                </c:pt>
                <c:pt idx="4">
                  <c:v>2015</c:v>
                </c:pt>
                <c:pt idx="5">
                  <c:v>2016</c:v>
                </c:pt>
                <c:pt idx="6">
                  <c:v>2017</c:v>
                </c:pt>
                <c:pt idx="7">
                  <c:v>2018</c:v>
                </c:pt>
              </c:numCache>
            </c:numRef>
          </c:cat>
          <c:val>
            <c:numRef>
              <c:f>Расчеты!$C$95:$J$95</c:f>
              <c:numCache>
                <c:formatCode>#,##0</c:formatCode>
                <c:ptCount val="8"/>
                <c:pt idx="0">
                  <c:v>71061600.667815164</c:v>
                </c:pt>
                <c:pt idx="1">
                  <c:v>90722417.265296623</c:v>
                </c:pt>
                <c:pt idx="2">
                  <c:v>105626190.58001864</c:v>
                </c:pt>
                <c:pt idx="3">
                  <c:v>114947056.24075937</c:v>
                </c:pt>
                <c:pt idx="4">
                  <c:v>123770045.50501727</c:v>
                </c:pt>
                <c:pt idx="5">
                  <c:v>156038488.37479308</c:v>
                </c:pt>
                <c:pt idx="6">
                  <c:v>177796217.63037127</c:v>
                </c:pt>
                <c:pt idx="7">
                  <c:v>211506751.96707365</c:v>
                </c:pt>
              </c:numCache>
            </c:numRef>
          </c:val>
          <c:smooth val="0"/>
          <c:extLst>
            <c:ext xmlns:c16="http://schemas.microsoft.com/office/drawing/2014/chart" uri="{C3380CC4-5D6E-409C-BE32-E72D297353CC}">
              <c16:uniqueId val="{00000000-2106-4E39-986F-ABE2FA59048E}"/>
            </c:ext>
          </c:extLst>
        </c:ser>
        <c:dLbls>
          <c:showLegendKey val="0"/>
          <c:showVal val="0"/>
          <c:showCatName val="0"/>
          <c:showSerName val="0"/>
          <c:showPercent val="0"/>
          <c:showBubbleSize val="0"/>
        </c:dLbls>
        <c:smooth val="0"/>
        <c:axId val="640246784"/>
        <c:axId val="819362560"/>
      </c:lineChart>
      <c:catAx>
        <c:axId val="6402467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819362560"/>
        <c:crosses val="autoZero"/>
        <c:auto val="1"/>
        <c:lblAlgn val="ctr"/>
        <c:lblOffset val="100"/>
        <c:noMultiLvlLbl val="0"/>
      </c:catAx>
      <c:valAx>
        <c:axId val="819362560"/>
        <c:scaling>
          <c:orientation val="minMax"/>
        </c:scaling>
        <c:delete val="0"/>
        <c:axPos val="l"/>
        <c:majorGridlines/>
        <c:numFmt formatCode="#,##0" sourceLinked="1"/>
        <c:majorTickMark val="none"/>
        <c:minorTickMark val="none"/>
        <c:tickLblPos val="nextTo"/>
        <c:txPr>
          <a:bodyPr rot="-60000000" vert="horz"/>
          <a:lstStyle/>
          <a:p>
            <a:pPr>
              <a:defRPr/>
            </a:pPr>
            <a:endParaRPr lang="ru-RU"/>
          </a:p>
        </c:txPr>
        <c:crossAx val="640246784"/>
        <c:crosses val="autoZero"/>
        <c:crossBetween val="between"/>
        <c:majorUnit val="50000000"/>
        <c:dispUnits>
          <c:builtInUnit val="millions"/>
        </c:dispUnits>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label 0</c:f>
              <c:strCache>
                <c:ptCount val="1"/>
                <c:pt idx="0">
                  <c:v>первая (с наименьшими доходами)</c:v>
                </c:pt>
              </c:strCache>
            </c:strRef>
          </c:tx>
          <c:spPr>
            <a:ln w="19080">
              <a:solidFill>
                <a:srgbClr val="4472C4"/>
              </a:solidFill>
              <a:round/>
            </a:ln>
          </c:spPr>
          <c:marker>
            <c:symbol val="none"/>
          </c:marker>
          <c:dPt>
            <c:idx val="19"/>
            <c:bubble3D val="0"/>
            <c:extLst>
              <c:ext xmlns:c16="http://schemas.microsoft.com/office/drawing/2014/chart" uri="{C3380CC4-5D6E-409C-BE32-E72D297353CC}">
                <c16:uniqueId val="{00000000-E73A-46AA-96D5-81ABAC7ECE1F}"/>
              </c:ext>
            </c:extLst>
          </c:dPt>
          <c:dLbls>
            <c:dLbl>
              <c:idx val="19"/>
              <c:layout>
                <c:manualLayout>
                  <c:x val="-1.9263665644408E-7"/>
                  <c:y val="4.3116996725767701E-2"/>
                </c:manualLayout>
              </c:layout>
              <c:numFmt formatCode="0.00" sourceLinked="0"/>
              <c:spPr/>
              <c:txPr>
                <a:bodyPr wrap="none"/>
                <a:lstStyle/>
                <a:p>
                  <a:pPr>
                    <a:defRPr sz="1000" b="0" strike="noStrike" spc="-1">
                      <a:solidFill>
                        <a:srgbClr val="000000"/>
                      </a:solidFill>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E73A-46AA-96D5-81ABAC7ECE1F}"/>
                </c:ext>
              </c:extLst>
            </c:dLbl>
            <c:spPr>
              <a:noFill/>
              <a:ln>
                <a:noFill/>
              </a:ln>
              <a:effectLst/>
            </c:spPr>
            <c:txPr>
              <a:bodyPr wrap="non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7"/>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0</c:f>
              <c:numCache>
                <c:formatCode>General</c:formatCode>
                <c:ptCount val="27"/>
                <c:pt idx="0">
                  <c:v>1</c:v>
                </c:pt>
                <c:pt idx="1">
                  <c:v>0.86875275763874404</c:v>
                </c:pt>
                <c:pt idx="2">
                  <c:v>0.49677101956945402</c:v>
                </c:pt>
                <c:pt idx="3">
                  <c:v>0.46036188430907599</c:v>
                </c:pt>
                <c:pt idx="4">
                  <c:v>0.46748819350766901</c:v>
                </c:pt>
                <c:pt idx="5">
                  <c:v>0.27683476491983899</c:v>
                </c:pt>
                <c:pt idx="6">
                  <c:v>0.33296864957703398</c:v>
                </c:pt>
                <c:pt idx="7">
                  <c:v>0.37490361072082301</c:v>
                </c:pt>
                <c:pt idx="8">
                  <c:v>0.40999258718620002</c:v>
                </c:pt>
                <c:pt idx="9">
                  <c:v>0.45898445071043198</c:v>
                </c:pt>
                <c:pt idx="10">
                  <c:v>0.51756946654253</c:v>
                </c:pt>
                <c:pt idx="11">
                  <c:v>0.56329634368178605</c:v>
                </c:pt>
                <c:pt idx="12">
                  <c:v>0.64192259534257201</c:v>
                </c:pt>
                <c:pt idx="13">
                  <c:v>0.72557321106165396</c:v>
                </c:pt>
                <c:pt idx="14">
                  <c:v>0.77037995280042304</c:v>
                </c:pt>
                <c:pt idx="15">
                  <c:v>0.80537233060025504</c:v>
                </c:pt>
                <c:pt idx="16">
                  <c:v>0.85083002793763796</c:v>
                </c:pt>
                <c:pt idx="17">
                  <c:v>0.892808237564367</c:v>
                </c:pt>
                <c:pt idx="18">
                  <c:v>0.92234808775711297</c:v>
                </c:pt>
                <c:pt idx="19">
                  <c:v>0.96688714783016905</c:v>
                </c:pt>
                <c:pt idx="20">
                  <c:v>1.0041722754526901</c:v>
                </c:pt>
                <c:pt idx="21">
                  <c:v>0.96531448787576102</c:v>
                </c:pt>
                <c:pt idx="22">
                  <c:v>0.95856531283050805</c:v>
                </c:pt>
                <c:pt idx="23">
                  <c:v>0.92780725329027003</c:v>
                </c:pt>
                <c:pt idx="24">
                  <c:v>0.93542968369489199</c:v>
                </c:pt>
                <c:pt idx="25">
                  <c:v>0.93290032553885405</c:v>
                </c:pt>
                <c:pt idx="26">
                  <c:v>0.94320781864794501</c:v>
                </c:pt>
              </c:numCache>
            </c:numRef>
          </c:val>
          <c:smooth val="0"/>
          <c:extLst>
            <c:ext xmlns:c16="http://schemas.microsoft.com/office/drawing/2014/chart" uri="{C3380CC4-5D6E-409C-BE32-E72D297353CC}">
              <c16:uniqueId val="{00000001-E73A-46AA-96D5-81ABAC7ECE1F}"/>
            </c:ext>
          </c:extLst>
        </c:ser>
        <c:ser>
          <c:idx val="1"/>
          <c:order val="1"/>
          <c:tx>
            <c:strRef>
              <c:f>label 1</c:f>
              <c:strCache>
                <c:ptCount val="1"/>
                <c:pt idx="0">
                  <c:v>вторая</c:v>
                </c:pt>
              </c:strCache>
            </c:strRef>
          </c:tx>
          <c:spPr>
            <a:ln w="19080">
              <a:solidFill>
                <a:srgbClr val="ED7D31"/>
              </a:solidFill>
              <a:round/>
            </a:ln>
          </c:spPr>
          <c:marker>
            <c:symbol val="none"/>
          </c:marker>
          <c:dPt>
            <c:idx val="19"/>
            <c:bubble3D val="0"/>
            <c:extLst>
              <c:ext xmlns:c16="http://schemas.microsoft.com/office/drawing/2014/chart" uri="{C3380CC4-5D6E-409C-BE32-E72D297353CC}">
                <c16:uniqueId val="{00000002-E73A-46AA-96D5-81ABAC7ECE1F}"/>
              </c:ext>
            </c:extLst>
          </c:dPt>
          <c:dLbls>
            <c:dLbl>
              <c:idx val="19"/>
              <c:numFmt formatCode="0.00" sourceLinked="0"/>
              <c:spPr/>
              <c:txPr>
                <a:bodyPr wrap="none"/>
                <a:lstStyle/>
                <a:p>
                  <a:pPr>
                    <a:defRPr sz="1000" b="0" strike="noStrike" spc="-1">
                      <a:solidFill>
                        <a:srgbClr val="000000"/>
                      </a:solidFill>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E73A-46AA-96D5-81ABAC7ECE1F}"/>
                </c:ext>
              </c:extLst>
            </c:dLbl>
            <c:spPr>
              <a:noFill/>
              <a:ln>
                <a:noFill/>
              </a:ln>
              <a:effectLst/>
            </c:spPr>
            <c:txPr>
              <a:bodyPr wrap="non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7"/>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1</c:f>
              <c:numCache>
                <c:formatCode>General</c:formatCode>
                <c:ptCount val="27"/>
                <c:pt idx="0">
                  <c:v>1</c:v>
                </c:pt>
                <c:pt idx="1">
                  <c:v>0.90139687325603002</c:v>
                </c:pt>
                <c:pt idx="2">
                  <c:v>0.60021912732206495</c:v>
                </c:pt>
                <c:pt idx="3">
                  <c:v>0.55107785597343695</c:v>
                </c:pt>
                <c:pt idx="4">
                  <c:v>0.56776366149207902</c:v>
                </c:pt>
                <c:pt idx="5">
                  <c:v>0.33376047221078797</c:v>
                </c:pt>
                <c:pt idx="6">
                  <c:v>0.397650059545545</c:v>
                </c:pt>
                <c:pt idx="7">
                  <c:v>0.45098345476540602</c:v>
                </c:pt>
                <c:pt idx="8">
                  <c:v>0.51049811946465595</c:v>
                </c:pt>
                <c:pt idx="9">
                  <c:v>0.57149984237344398</c:v>
                </c:pt>
                <c:pt idx="10">
                  <c:v>0.66145886491915695</c:v>
                </c:pt>
                <c:pt idx="11">
                  <c:v>0.71899224247971705</c:v>
                </c:pt>
                <c:pt idx="12">
                  <c:v>0.81935090028648305</c:v>
                </c:pt>
                <c:pt idx="13">
                  <c:v>0.92491159324394101</c:v>
                </c:pt>
                <c:pt idx="14">
                  <c:v>1.0102306270294901</c:v>
                </c:pt>
                <c:pt idx="15">
                  <c:v>1.0561175580658899</c:v>
                </c:pt>
                <c:pt idx="16">
                  <c:v>1.0942717796942201</c:v>
                </c:pt>
                <c:pt idx="17">
                  <c:v>1.1482609063685201</c:v>
                </c:pt>
                <c:pt idx="18">
                  <c:v>1.19835739728214</c:v>
                </c:pt>
                <c:pt idx="19">
                  <c:v>1.2435354715726401</c:v>
                </c:pt>
                <c:pt idx="20">
                  <c:v>1.30466717544847</c:v>
                </c:pt>
                <c:pt idx="21">
                  <c:v>1.2305175375152599</c:v>
                </c:pt>
                <c:pt idx="22">
                  <c:v>1.24659928049261</c:v>
                </c:pt>
                <c:pt idx="23">
                  <c:v>1.2065989024495201</c:v>
                </c:pt>
                <c:pt idx="24">
                  <c:v>1.21651175463687</c:v>
                </c:pt>
                <c:pt idx="25">
                  <c:v>1.2012102610839399</c:v>
                </c:pt>
                <c:pt idx="26">
                  <c:v>1.2266270981677301</c:v>
                </c:pt>
              </c:numCache>
            </c:numRef>
          </c:val>
          <c:smooth val="0"/>
          <c:extLst>
            <c:ext xmlns:c16="http://schemas.microsoft.com/office/drawing/2014/chart" uri="{C3380CC4-5D6E-409C-BE32-E72D297353CC}">
              <c16:uniqueId val="{00000003-E73A-46AA-96D5-81ABAC7ECE1F}"/>
            </c:ext>
          </c:extLst>
        </c:ser>
        <c:ser>
          <c:idx val="2"/>
          <c:order val="2"/>
          <c:tx>
            <c:strRef>
              <c:f>label 2</c:f>
              <c:strCache>
                <c:ptCount val="1"/>
                <c:pt idx="0">
                  <c:v>третья</c:v>
                </c:pt>
              </c:strCache>
            </c:strRef>
          </c:tx>
          <c:spPr>
            <a:ln w="19080">
              <a:solidFill>
                <a:srgbClr val="A5A5A5"/>
              </a:solidFill>
              <a:round/>
            </a:ln>
          </c:spPr>
          <c:marker>
            <c:symbol val="none"/>
          </c:marker>
          <c:dPt>
            <c:idx val="19"/>
            <c:bubble3D val="0"/>
            <c:extLst>
              <c:ext xmlns:c16="http://schemas.microsoft.com/office/drawing/2014/chart" uri="{C3380CC4-5D6E-409C-BE32-E72D297353CC}">
                <c16:uniqueId val="{00000004-E73A-46AA-96D5-81ABAC7ECE1F}"/>
              </c:ext>
            </c:extLst>
          </c:dPt>
          <c:dLbls>
            <c:dLbl>
              <c:idx val="19"/>
              <c:numFmt formatCode="0.00" sourceLinked="0"/>
              <c:spPr/>
              <c:txPr>
                <a:bodyPr wrap="none"/>
                <a:lstStyle/>
                <a:p>
                  <a:pPr>
                    <a:defRPr sz="1000" b="0" strike="noStrike" spc="-1">
                      <a:solidFill>
                        <a:srgbClr val="000000"/>
                      </a:solidFill>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4-E73A-46AA-96D5-81ABAC7ECE1F}"/>
                </c:ext>
              </c:extLst>
            </c:dLbl>
            <c:spPr>
              <a:noFill/>
              <a:ln>
                <a:noFill/>
              </a:ln>
              <a:effectLst/>
            </c:spPr>
            <c:txPr>
              <a:bodyPr wrap="non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7"/>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2</c:f>
              <c:numCache>
                <c:formatCode>General</c:formatCode>
                <c:ptCount val="27"/>
                <c:pt idx="0">
                  <c:v>1</c:v>
                </c:pt>
                <c:pt idx="1">
                  <c:v>0.90497461937922197</c:v>
                </c:pt>
                <c:pt idx="2">
                  <c:v>0.67216893111495302</c:v>
                </c:pt>
                <c:pt idx="3">
                  <c:v>0.62290460496324196</c:v>
                </c:pt>
                <c:pt idx="4">
                  <c:v>0.65829187664242905</c:v>
                </c:pt>
                <c:pt idx="5">
                  <c:v>0.37581063517343699</c:v>
                </c:pt>
                <c:pt idx="6">
                  <c:v>0.44598704067002698</c:v>
                </c:pt>
                <c:pt idx="7">
                  <c:v>0.52101831302198598</c:v>
                </c:pt>
                <c:pt idx="8">
                  <c:v>0.60149261470422</c:v>
                </c:pt>
                <c:pt idx="9">
                  <c:v>0.67336768028202698</c:v>
                </c:pt>
                <c:pt idx="10">
                  <c:v>0.78181827629342204</c:v>
                </c:pt>
                <c:pt idx="11">
                  <c:v>0.85531984642482195</c:v>
                </c:pt>
                <c:pt idx="12">
                  <c:v>0.97470743743225396</c:v>
                </c:pt>
                <c:pt idx="13">
                  <c:v>1.1150775154782</c:v>
                </c:pt>
                <c:pt idx="14">
                  <c:v>1.2139615785853599</c:v>
                </c:pt>
                <c:pt idx="15">
                  <c:v>1.2691024243951701</c:v>
                </c:pt>
                <c:pt idx="16">
                  <c:v>1.31495112258187</c:v>
                </c:pt>
                <c:pt idx="17">
                  <c:v>1.3798281157063801</c:v>
                </c:pt>
                <c:pt idx="18">
                  <c:v>1.43511335532018</c:v>
                </c:pt>
                <c:pt idx="19">
                  <c:v>1.5044132224665201</c:v>
                </c:pt>
                <c:pt idx="20">
                  <c:v>1.5624264447154099</c:v>
                </c:pt>
                <c:pt idx="21">
                  <c:v>1.4835173961572099</c:v>
                </c:pt>
                <c:pt idx="22">
                  <c:v>1.4731451094930199</c:v>
                </c:pt>
                <c:pt idx="23">
                  <c:v>1.4258754196944201</c:v>
                </c:pt>
                <c:pt idx="24">
                  <c:v>1.4471736768138399</c:v>
                </c:pt>
                <c:pt idx="25">
                  <c:v>1.4337025696808301</c:v>
                </c:pt>
                <c:pt idx="26">
                  <c:v>1.45920698338403</c:v>
                </c:pt>
              </c:numCache>
            </c:numRef>
          </c:val>
          <c:smooth val="0"/>
          <c:extLst>
            <c:ext xmlns:c16="http://schemas.microsoft.com/office/drawing/2014/chart" uri="{C3380CC4-5D6E-409C-BE32-E72D297353CC}">
              <c16:uniqueId val="{00000005-E73A-46AA-96D5-81ABAC7ECE1F}"/>
            </c:ext>
          </c:extLst>
        </c:ser>
        <c:ser>
          <c:idx val="3"/>
          <c:order val="3"/>
          <c:tx>
            <c:strRef>
              <c:f>label 3</c:f>
              <c:strCache>
                <c:ptCount val="1"/>
                <c:pt idx="0">
                  <c:v>четвертая</c:v>
                </c:pt>
              </c:strCache>
            </c:strRef>
          </c:tx>
          <c:spPr>
            <a:ln w="19080">
              <a:solidFill>
                <a:srgbClr val="FFC000"/>
              </a:solidFill>
              <a:round/>
            </a:ln>
          </c:spPr>
          <c:marker>
            <c:symbol val="none"/>
          </c:marker>
          <c:dPt>
            <c:idx val="19"/>
            <c:bubble3D val="0"/>
            <c:extLst>
              <c:ext xmlns:c16="http://schemas.microsoft.com/office/drawing/2014/chart" uri="{C3380CC4-5D6E-409C-BE32-E72D297353CC}">
                <c16:uniqueId val="{00000006-E73A-46AA-96D5-81ABAC7ECE1F}"/>
              </c:ext>
            </c:extLst>
          </c:dPt>
          <c:dLbls>
            <c:dLbl>
              <c:idx val="19"/>
              <c:numFmt formatCode="0.00" sourceLinked="0"/>
              <c:spPr/>
              <c:txPr>
                <a:bodyPr wrap="none"/>
                <a:lstStyle/>
                <a:p>
                  <a:pPr>
                    <a:defRPr sz="1000" b="0" strike="noStrike" spc="-1">
                      <a:solidFill>
                        <a:srgbClr val="000000"/>
                      </a:solidFill>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73A-46AA-96D5-81ABAC7ECE1F}"/>
                </c:ext>
              </c:extLst>
            </c:dLbl>
            <c:spPr>
              <a:noFill/>
              <a:ln>
                <a:noFill/>
              </a:ln>
              <a:effectLst/>
            </c:spPr>
            <c:txPr>
              <a:bodyPr wrap="non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7"/>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3</c:f>
              <c:numCache>
                <c:formatCode>General</c:formatCode>
                <c:ptCount val="27"/>
                <c:pt idx="0">
                  <c:v>1</c:v>
                </c:pt>
                <c:pt idx="1">
                  <c:v>0.92247896404806595</c:v>
                </c:pt>
                <c:pt idx="2">
                  <c:v>0.76911195535641297</c:v>
                </c:pt>
                <c:pt idx="3">
                  <c:v>0.71274252133183003</c:v>
                </c:pt>
                <c:pt idx="4">
                  <c:v>0.7690967990923</c:v>
                </c:pt>
                <c:pt idx="5">
                  <c:v>0.43372777202267698</c:v>
                </c:pt>
                <c:pt idx="6">
                  <c:v>0.51196932836480302</c:v>
                </c:pt>
                <c:pt idx="7">
                  <c:v>0.60844471094973096</c:v>
                </c:pt>
                <c:pt idx="8">
                  <c:v>0.71704331265465204</c:v>
                </c:pt>
                <c:pt idx="9">
                  <c:v>0.79920532402506805</c:v>
                </c:pt>
                <c:pt idx="10">
                  <c:v>0.93398781262657005</c:v>
                </c:pt>
                <c:pt idx="11">
                  <c:v>1.03532910626842</c:v>
                </c:pt>
                <c:pt idx="12">
                  <c:v>1.17984282054025</c:v>
                </c:pt>
                <c:pt idx="13">
                  <c:v>1.3527676317645401</c:v>
                </c:pt>
                <c:pt idx="14">
                  <c:v>1.4860270288930999</c:v>
                </c:pt>
                <c:pt idx="15">
                  <c:v>1.55352569500813</c:v>
                </c:pt>
                <c:pt idx="16">
                  <c:v>1.60964971569121</c:v>
                </c:pt>
                <c:pt idx="17">
                  <c:v>1.6890665333541699</c:v>
                </c:pt>
                <c:pt idx="18">
                  <c:v>1.7527070805148099</c:v>
                </c:pt>
                <c:pt idx="19">
                  <c:v>1.8292133228805001</c:v>
                </c:pt>
                <c:pt idx="20">
                  <c:v>1.9081948351218001</c:v>
                </c:pt>
                <c:pt idx="21">
                  <c:v>1.79974422120821</c:v>
                </c:pt>
                <c:pt idx="22">
                  <c:v>1.7871609761226199</c:v>
                </c:pt>
                <c:pt idx="23">
                  <c:v>1.7298152710613199</c:v>
                </c:pt>
                <c:pt idx="24">
                  <c:v>1.74402662419502</c:v>
                </c:pt>
                <c:pt idx="25">
                  <c:v>1.73931085769418</c:v>
                </c:pt>
                <c:pt idx="26">
                  <c:v>1.75852827480666</c:v>
                </c:pt>
              </c:numCache>
            </c:numRef>
          </c:val>
          <c:smooth val="0"/>
          <c:extLst>
            <c:ext xmlns:c16="http://schemas.microsoft.com/office/drawing/2014/chart" uri="{C3380CC4-5D6E-409C-BE32-E72D297353CC}">
              <c16:uniqueId val="{00000007-E73A-46AA-96D5-81ABAC7ECE1F}"/>
            </c:ext>
          </c:extLst>
        </c:ser>
        <c:ser>
          <c:idx val="4"/>
          <c:order val="4"/>
          <c:tx>
            <c:strRef>
              <c:f>label 4</c:f>
              <c:strCache>
                <c:ptCount val="1"/>
                <c:pt idx="0">
                  <c:v>пятая (с наибольшими доходами)</c:v>
                </c:pt>
              </c:strCache>
            </c:strRef>
          </c:tx>
          <c:spPr>
            <a:ln w="19080">
              <a:solidFill>
                <a:srgbClr val="5B9BD5"/>
              </a:solidFill>
              <a:round/>
            </a:ln>
          </c:spPr>
          <c:marker>
            <c:symbol val="none"/>
          </c:marker>
          <c:dPt>
            <c:idx val="19"/>
            <c:bubble3D val="0"/>
            <c:extLst>
              <c:ext xmlns:c16="http://schemas.microsoft.com/office/drawing/2014/chart" uri="{C3380CC4-5D6E-409C-BE32-E72D297353CC}">
                <c16:uniqueId val="{00000008-E73A-46AA-96D5-81ABAC7ECE1F}"/>
              </c:ext>
            </c:extLst>
          </c:dPt>
          <c:dLbls>
            <c:dLbl>
              <c:idx val="19"/>
              <c:numFmt formatCode="0.00" sourceLinked="0"/>
              <c:spPr/>
              <c:txPr>
                <a:bodyPr wrap="none"/>
                <a:lstStyle/>
                <a:p>
                  <a:pPr>
                    <a:defRPr sz="1000" b="0" strike="noStrike" spc="-1">
                      <a:solidFill>
                        <a:srgbClr val="000000"/>
                      </a:solidFill>
                      <a:latin typeface="Calibri"/>
                    </a:defRPr>
                  </a:pPr>
                  <a:endParaRPr lang="ru-RU"/>
                </a:p>
              </c:txPr>
              <c:dLblPos val="r"/>
              <c:showLegendKey val="0"/>
              <c:showVal val="1"/>
              <c:showCatName val="0"/>
              <c:showSerName val="0"/>
              <c:showPercent val="0"/>
              <c:showBubbleSize val="1"/>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8-E73A-46AA-96D5-81ABAC7ECE1F}"/>
                </c:ext>
              </c:extLst>
            </c:dLbl>
            <c:spPr>
              <a:noFill/>
              <a:ln>
                <a:noFill/>
              </a:ln>
              <a:effectLst/>
            </c:spPr>
            <c:txPr>
              <a:bodyPr wrap="none"/>
              <a:lstStyle/>
              <a:p>
                <a:pPr>
                  <a:defRPr sz="1000" b="0" strike="noStrike" spc="-1">
                    <a:solidFill>
                      <a:srgbClr val="000000"/>
                    </a:solidFill>
                    <a:latin typeface="Calibri"/>
                  </a:defRPr>
                </a:pPr>
                <a:endParaRPr lang="ru-RU"/>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7"/>
                <c:pt idx="0">
                  <c:v>1990</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4</c:f>
              <c:numCache>
                <c:formatCode>General</c:formatCode>
                <c:ptCount val="27"/>
                <c:pt idx="0">
                  <c:v>1</c:v>
                </c:pt>
                <c:pt idx="1">
                  <c:v>0.87658246750992297</c:v>
                </c:pt>
                <c:pt idx="2">
                  <c:v>1.1402033566372001</c:v>
                </c:pt>
                <c:pt idx="3">
                  <c:v>1.0589181970285899</c:v>
                </c:pt>
                <c:pt idx="4">
                  <c:v>1.1045731136664301</c:v>
                </c:pt>
                <c:pt idx="5">
                  <c:v>0.65436057781875501</c:v>
                </c:pt>
                <c:pt idx="6">
                  <c:v>0.79879245494338702</c:v>
                </c:pt>
                <c:pt idx="7">
                  <c:v>0.89734490037902503</c:v>
                </c:pt>
                <c:pt idx="8">
                  <c:v>0.99401343874111803</c:v>
                </c:pt>
                <c:pt idx="9">
                  <c:v>1.1152275827798701</c:v>
                </c:pt>
                <c:pt idx="10">
                  <c:v>1.3146884293852801</c:v>
                </c:pt>
                <c:pt idx="11">
                  <c:v>1.4731092616122601</c:v>
                </c:pt>
                <c:pt idx="12">
                  <c:v>1.6787293776071801</c:v>
                </c:pt>
                <c:pt idx="13">
                  <c:v>1.9539897253265801</c:v>
                </c:pt>
                <c:pt idx="14">
                  <c:v>2.1834215898378999</c:v>
                </c:pt>
                <c:pt idx="15">
                  <c:v>2.2825974742702302</c:v>
                </c:pt>
                <c:pt idx="16">
                  <c:v>2.3601127508032902</c:v>
                </c:pt>
                <c:pt idx="17">
                  <c:v>2.4765558763898299</c:v>
                </c:pt>
                <c:pt idx="18">
                  <c:v>2.5424051331923101</c:v>
                </c:pt>
                <c:pt idx="19">
                  <c:v>2.67642022795274</c:v>
                </c:pt>
                <c:pt idx="20">
                  <c:v>2.7679493041813599</c:v>
                </c:pt>
                <c:pt idx="21">
                  <c:v>2.5996199449787198</c:v>
                </c:pt>
                <c:pt idx="22">
                  <c:v>2.5705058976423101</c:v>
                </c:pt>
                <c:pt idx="23">
                  <c:v>2.48802453472427</c:v>
                </c:pt>
                <c:pt idx="24">
                  <c:v>2.5031278209774799</c:v>
                </c:pt>
                <c:pt idx="25">
                  <c:v>2.5070049365161502</c:v>
                </c:pt>
                <c:pt idx="26">
                  <c:v>2.5239414281739099</c:v>
                </c:pt>
              </c:numCache>
            </c:numRef>
          </c:val>
          <c:smooth val="0"/>
          <c:extLst>
            <c:ext xmlns:c16="http://schemas.microsoft.com/office/drawing/2014/chart" uri="{C3380CC4-5D6E-409C-BE32-E72D297353CC}">
              <c16:uniqueId val="{00000009-E73A-46AA-96D5-81ABAC7ECE1F}"/>
            </c:ext>
          </c:extLst>
        </c:ser>
        <c:dLbls>
          <c:showLegendKey val="0"/>
          <c:showVal val="0"/>
          <c:showCatName val="0"/>
          <c:showSerName val="0"/>
          <c:showPercent val="0"/>
          <c:showBubbleSize val="0"/>
        </c:dLbls>
        <c:hiLowLines>
          <c:spPr>
            <a:ln w="0">
              <a:noFill/>
            </a:ln>
          </c:spPr>
        </c:hiLowLines>
        <c:smooth val="0"/>
        <c:axId val="521880576"/>
        <c:axId val="745372992"/>
      </c:lineChart>
      <c:catAx>
        <c:axId val="521880576"/>
        <c:scaling>
          <c:orientation val="minMax"/>
        </c:scaling>
        <c:delete val="0"/>
        <c:axPos val="b"/>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ru-RU"/>
          </a:p>
        </c:txPr>
        <c:crossAx val="745372992"/>
        <c:crosses val="autoZero"/>
        <c:auto val="1"/>
        <c:lblAlgn val="ctr"/>
        <c:lblOffset val="100"/>
        <c:noMultiLvlLbl val="0"/>
      </c:catAx>
      <c:valAx>
        <c:axId val="745372992"/>
        <c:scaling>
          <c:orientation val="minMax"/>
        </c:scaling>
        <c:delete val="0"/>
        <c:axPos val="l"/>
        <c:numFmt formatCode="0.00"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ru-RU"/>
          </a:p>
        </c:txPr>
        <c:crossAx val="521880576"/>
        <c:crosses val="autoZero"/>
        <c:crossBetween val="between"/>
      </c:valAx>
      <c:spPr>
        <a:solidFill>
          <a:srgbClr val="FFFFFF"/>
        </a:solidFill>
        <a:ln w="0">
          <a:noFill/>
        </a:ln>
      </c:spPr>
    </c:plotArea>
    <c:legend>
      <c:legendPos val="b"/>
      <c:layout>
        <c:manualLayout>
          <c:xMode val="edge"/>
          <c:yMode val="edge"/>
          <c:x val="1.7999999999999999E-2"/>
          <c:y val="0.78888888888888897"/>
          <c:w val="0.95905994124632798"/>
          <c:h val="0.189465496166241"/>
        </c:manualLayout>
      </c:layout>
      <c:overlay val="0"/>
      <c:spPr>
        <a:noFill/>
        <a:ln w="0">
          <a:noFill/>
        </a:ln>
      </c:spPr>
      <c:txPr>
        <a:bodyPr/>
        <a:lstStyle/>
        <a:p>
          <a:pPr>
            <a:defRPr sz="1000" b="0" strike="noStrike" spc="-1">
              <a:solidFill>
                <a:srgbClr val="000000"/>
              </a:solidFill>
              <a:latin typeface="Times New Roman"/>
            </a:defRPr>
          </a:pPr>
          <a:endParaRPr lang="ru-RU"/>
        </a:p>
      </c:txPr>
    </c:legend>
    <c:plotVisOnly val="1"/>
    <c:dispBlanksAs val="gap"/>
    <c:showDLblsOverMax val="1"/>
  </c:chart>
  <c:spPr>
    <a:solidFill>
      <a:srgbClr val="FFFFFF"/>
    </a:solidFill>
    <a:ln w="9360">
      <a:solidFill>
        <a:srgbClr val="D9D9D9"/>
      </a:solidFill>
      <a:round/>
    </a:ln>
  </c:spPr>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543235423217151E-2"/>
          <c:y val="2.2395595046032089E-2"/>
          <c:w val="0.92262234285560718"/>
          <c:h val="0.67651970109240933"/>
        </c:manualLayout>
      </c:layout>
      <c:lineChart>
        <c:grouping val="standard"/>
        <c:varyColors val="0"/>
        <c:ser>
          <c:idx val="0"/>
          <c:order val="0"/>
          <c:tx>
            <c:v>без миграции</c:v>
          </c:tx>
          <c:spPr>
            <a:ln w="28575" cap="rnd">
              <a:solidFill>
                <a:schemeClr val="accent1"/>
              </a:solidFill>
              <a:round/>
            </a:ln>
            <a:effectLst/>
          </c:spPr>
          <c:marker>
            <c:symbol val="none"/>
          </c:marker>
          <c:cat>
            <c:strRef>
              <c:f>Рис2017!$B$2:$B$86</c:f>
              <c:strCache>
                <c:ptCount val="85"/>
                <c:pt idx="0">
                  <c:v>Республика Дагестан</c:v>
                </c:pt>
                <c:pt idx="1">
                  <c:v>Карачаево-Черкесская Республика</c:v>
                </c:pt>
                <c:pt idx="2">
                  <c:v>Алтайский край</c:v>
                </c:pt>
                <c:pt idx="3">
                  <c:v>Республика Ингушетия</c:v>
                </c:pt>
                <c:pt idx="4">
                  <c:v>Кабардино-Балкарская Республика</c:v>
                </c:pt>
                <c:pt idx="5">
                  <c:v>Республика Калмыкия</c:v>
                </c:pt>
                <c:pt idx="6">
                  <c:v>Чеченская Республика</c:v>
                </c:pt>
                <c:pt idx="7">
                  <c:v>Ивановская область</c:v>
                </c:pt>
                <c:pt idx="8">
                  <c:v>Псковская область</c:v>
                </c:pt>
                <c:pt idx="9">
                  <c:v>Тамбовская область</c:v>
                </c:pt>
                <c:pt idx="10">
                  <c:v>Республика Мордовия</c:v>
                </c:pt>
                <c:pt idx="11">
                  <c:v>Республика Адыгея (Адыгея)</c:v>
                </c:pt>
                <c:pt idx="12">
                  <c:v>Чувашская Республика</c:v>
                </c:pt>
                <c:pt idx="13">
                  <c:v>Костромская область</c:v>
                </c:pt>
                <c:pt idx="14">
                  <c:v>Республика Северная Осетия-Алания</c:v>
                </c:pt>
                <c:pt idx="15">
                  <c:v>Саратовская область</c:v>
                </c:pt>
                <c:pt idx="16">
                  <c:v>Брянская область</c:v>
                </c:pt>
                <c:pt idx="17">
                  <c:v>Орловская область</c:v>
                </c:pt>
                <c:pt idx="18">
                  <c:v>Кировская область</c:v>
                </c:pt>
                <c:pt idx="19">
                  <c:v>Курганская область</c:v>
                </c:pt>
                <c:pt idx="20">
                  <c:v>Республика Марий Эл</c:v>
                </c:pt>
                <c:pt idx="21">
                  <c:v>Крым </c:v>
                </c:pt>
                <c:pt idx="22">
                  <c:v>Пензенская область</c:v>
                </c:pt>
                <c:pt idx="23">
                  <c:v>Ульяновская область</c:v>
                </c:pt>
                <c:pt idx="24">
                  <c:v>Смоленская область</c:v>
                </c:pt>
                <c:pt idx="25">
                  <c:v>Республика Алтай</c:v>
                </c:pt>
                <c:pt idx="26">
                  <c:v>Ставропольский край</c:v>
                </c:pt>
                <c:pt idx="27">
                  <c:v>Владимирская область</c:v>
                </c:pt>
                <c:pt idx="28">
                  <c:v>Курская область</c:v>
                </c:pt>
                <c:pt idx="29">
                  <c:v>Оренбургская область</c:v>
                </c:pt>
                <c:pt idx="30">
                  <c:v>Тверская область</c:v>
                </c:pt>
                <c:pt idx="31">
                  <c:v>г. Севастополь</c:v>
                </c:pt>
                <c:pt idx="32">
                  <c:v>Волгоградская область</c:v>
                </c:pt>
                <c:pt idx="33">
                  <c:v>Воронежская область</c:v>
                </c:pt>
                <c:pt idx="34">
                  <c:v>Липецкая область</c:v>
                </c:pt>
                <c:pt idx="35">
                  <c:v>Ростовская область</c:v>
                </c:pt>
                <c:pt idx="36">
                  <c:v>Рязанская область</c:v>
                </c:pt>
                <c:pt idx="37">
                  <c:v>Удмуртская Республика</c:v>
                </c:pt>
                <c:pt idx="38">
                  <c:v>Белгородская область</c:v>
                </c:pt>
                <c:pt idx="39">
                  <c:v>Новгородская область</c:v>
                </c:pt>
                <c:pt idx="40">
                  <c:v>Астраханская область</c:v>
                </c:pt>
                <c:pt idx="41">
                  <c:v>Омская область</c:v>
                </c:pt>
                <c:pt idx="42">
                  <c:v>Краснодарский край</c:v>
                </c:pt>
                <c:pt idx="43">
                  <c:v>Республика Башкортостан</c:v>
                </c:pt>
                <c:pt idx="44">
                  <c:v>Нижегородская область</c:v>
                </c:pt>
                <c:pt idx="45">
                  <c:v>Самарская область</c:v>
                </c:pt>
                <c:pt idx="46">
                  <c:v>Калининградская область</c:v>
                </c:pt>
                <c:pt idx="47">
                  <c:v>Ярославская область</c:v>
                </c:pt>
                <c:pt idx="48">
                  <c:v>Республика Тыва</c:v>
                </c:pt>
                <c:pt idx="49">
                  <c:v>Тульская область</c:v>
                </c:pt>
                <c:pt idx="50">
                  <c:v>Вологодская область</c:v>
                </c:pt>
                <c:pt idx="51">
                  <c:v>Республика Бурятия</c:v>
                </c:pt>
                <c:pt idx="52">
                  <c:v>Челябинская область</c:v>
                </c:pt>
                <c:pt idx="53">
                  <c:v>Новосибирская область</c:v>
                </c:pt>
                <c:pt idx="54">
                  <c:v>Республика Татарстан</c:v>
                </c:pt>
                <c:pt idx="55">
                  <c:v>Кемеровская область</c:v>
                </c:pt>
                <c:pt idx="56">
                  <c:v>Пермский край</c:v>
                </c:pt>
                <c:pt idx="57">
                  <c:v>Республика Хакасия</c:v>
                </c:pt>
                <c:pt idx="58">
                  <c:v>Калужская область</c:v>
                </c:pt>
                <c:pt idx="59">
                  <c:v>Еврейская авт.область</c:v>
                </c:pt>
                <c:pt idx="60">
                  <c:v>Республика Карелия</c:v>
                </c:pt>
                <c:pt idx="61">
                  <c:v>Свердловская область</c:v>
                </c:pt>
                <c:pt idx="62">
                  <c:v>Забайкальский край</c:v>
                </c:pt>
                <c:pt idx="63">
                  <c:v>Амурская область</c:v>
                </c:pt>
                <c:pt idx="64">
                  <c:v>Томская область</c:v>
                </c:pt>
                <c:pt idx="65">
                  <c:v>Приморский край</c:v>
                </c:pt>
                <c:pt idx="66">
                  <c:v>Иркутская область</c:v>
                </c:pt>
                <c:pt idx="67">
                  <c:v>Ленинградская область</c:v>
                </c:pt>
                <c:pt idx="68">
                  <c:v>Архангельская область (без Ненецкого автономного округа)</c:v>
                </c:pt>
                <c:pt idx="69">
                  <c:v>Тюменская область (кроме Ханты-Мансийского автономного округа - Югры и Ямало-Ненецкого автономного округа</c:v>
                </c:pt>
                <c:pt idx="70">
                  <c:v>Красноярский край</c:v>
                </c:pt>
                <c:pt idx="71">
                  <c:v>Хабаровский край</c:v>
                </c:pt>
                <c:pt idx="72">
                  <c:v>Республика Коми</c:v>
                </c:pt>
                <c:pt idx="73">
                  <c:v>Московская область</c:v>
                </c:pt>
                <c:pt idx="74">
                  <c:v>Мурманская область</c:v>
                </c:pt>
                <c:pt idx="75">
                  <c:v>г. Санкт-Петербург</c:v>
                </c:pt>
                <c:pt idx="76">
                  <c:v>Республика Саха (Якутия)</c:v>
                </c:pt>
                <c:pt idx="77">
                  <c:v>Камчатский край</c:v>
                </c:pt>
                <c:pt idx="78">
                  <c:v>Ханты-Мансийский автономный округ - Югра</c:v>
                </c:pt>
                <c:pt idx="79">
                  <c:v>Сахалинская область</c:v>
                </c:pt>
                <c:pt idx="80">
                  <c:v>г. Москва</c:v>
                </c:pt>
                <c:pt idx="81">
                  <c:v>Ненецкий авт.округ</c:v>
                </c:pt>
                <c:pt idx="82">
                  <c:v>Магаданская область</c:v>
                </c:pt>
                <c:pt idx="83">
                  <c:v>Ямало-Ненецкий автономный округ</c:v>
                </c:pt>
                <c:pt idx="84">
                  <c:v>Чукотский авт.округ</c:v>
                </c:pt>
              </c:strCache>
            </c:strRef>
          </c:cat>
          <c:val>
            <c:numRef>
              <c:f>Рис2017!$C$2:$C$86</c:f>
              <c:numCache>
                <c:formatCode>#\ ##0.0</c:formatCode>
                <c:ptCount val="85"/>
                <c:pt idx="0">
                  <c:v>-17226</c:v>
                </c:pt>
                <c:pt idx="1">
                  <c:v>-16529</c:v>
                </c:pt>
                <c:pt idx="2">
                  <c:v>-16424</c:v>
                </c:pt>
                <c:pt idx="3">
                  <c:v>-16417</c:v>
                </c:pt>
                <c:pt idx="4">
                  <c:v>-16385</c:v>
                </c:pt>
                <c:pt idx="5">
                  <c:v>-16248</c:v>
                </c:pt>
                <c:pt idx="6">
                  <c:v>-15918</c:v>
                </c:pt>
                <c:pt idx="7">
                  <c:v>-15697</c:v>
                </c:pt>
                <c:pt idx="8">
                  <c:v>-15508</c:v>
                </c:pt>
                <c:pt idx="9">
                  <c:v>-14914</c:v>
                </c:pt>
                <c:pt idx="10">
                  <c:v>-14840</c:v>
                </c:pt>
                <c:pt idx="11">
                  <c:v>-14677</c:v>
                </c:pt>
                <c:pt idx="12">
                  <c:v>-14637</c:v>
                </c:pt>
                <c:pt idx="13">
                  <c:v>-14613</c:v>
                </c:pt>
                <c:pt idx="14">
                  <c:v>-14452</c:v>
                </c:pt>
                <c:pt idx="15">
                  <c:v>-14429</c:v>
                </c:pt>
                <c:pt idx="16">
                  <c:v>-14424</c:v>
                </c:pt>
                <c:pt idx="17">
                  <c:v>-14356</c:v>
                </c:pt>
                <c:pt idx="18">
                  <c:v>-13952</c:v>
                </c:pt>
                <c:pt idx="19">
                  <c:v>-13734</c:v>
                </c:pt>
                <c:pt idx="20">
                  <c:v>-13727</c:v>
                </c:pt>
                <c:pt idx="21">
                  <c:v>-13002</c:v>
                </c:pt>
                <c:pt idx="22">
                  <c:v>-12929</c:v>
                </c:pt>
                <c:pt idx="23">
                  <c:v>-12913</c:v>
                </c:pt>
                <c:pt idx="24">
                  <c:v>-12898</c:v>
                </c:pt>
                <c:pt idx="25">
                  <c:v>-12851</c:v>
                </c:pt>
                <c:pt idx="26">
                  <c:v>-12522</c:v>
                </c:pt>
                <c:pt idx="27">
                  <c:v>-12192</c:v>
                </c:pt>
                <c:pt idx="28">
                  <c:v>-11893</c:v>
                </c:pt>
                <c:pt idx="29">
                  <c:v>-11722</c:v>
                </c:pt>
                <c:pt idx="30">
                  <c:v>-11555</c:v>
                </c:pt>
                <c:pt idx="31">
                  <c:v>-11480</c:v>
                </c:pt>
                <c:pt idx="32">
                  <c:v>-11205</c:v>
                </c:pt>
                <c:pt idx="33">
                  <c:v>-11160</c:v>
                </c:pt>
                <c:pt idx="34">
                  <c:v>-10712</c:v>
                </c:pt>
                <c:pt idx="35">
                  <c:v>-10667</c:v>
                </c:pt>
                <c:pt idx="36">
                  <c:v>-10348</c:v>
                </c:pt>
                <c:pt idx="37">
                  <c:v>-10172</c:v>
                </c:pt>
                <c:pt idx="38">
                  <c:v>-10101</c:v>
                </c:pt>
                <c:pt idx="39">
                  <c:v>-9856</c:v>
                </c:pt>
                <c:pt idx="40">
                  <c:v>-9568</c:v>
                </c:pt>
                <c:pt idx="41">
                  <c:v>-9416</c:v>
                </c:pt>
                <c:pt idx="42">
                  <c:v>-8824</c:v>
                </c:pt>
                <c:pt idx="43">
                  <c:v>-8809</c:v>
                </c:pt>
                <c:pt idx="44">
                  <c:v>-8780</c:v>
                </c:pt>
                <c:pt idx="45">
                  <c:v>-8675</c:v>
                </c:pt>
                <c:pt idx="46">
                  <c:v>-8587</c:v>
                </c:pt>
                <c:pt idx="47">
                  <c:v>-8447</c:v>
                </c:pt>
                <c:pt idx="48">
                  <c:v>-7916</c:v>
                </c:pt>
                <c:pt idx="49">
                  <c:v>-7530</c:v>
                </c:pt>
                <c:pt idx="50">
                  <c:v>-7516</c:v>
                </c:pt>
                <c:pt idx="51">
                  <c:v>-6930</c:v>
                </c:pt>
                <c:pt idx="52">
                  <c:v>-6914</c:v>
                </c:pt>
                <c:pt idx="53">
                  <c:v>-6880</c:v>
                </c:pt>
                <c:pt idx="54">
                  <c:v>-6843</c:v>
                </c:pt>
                <c:pt idx="55">
                  <c:v>-6519</c:v>
                </c:pt>
                <c:pt idx="56">
                  <c:v>-6215</c:v>
                </c:pt>
                <c:pt idx="57">
                  <c:v>-5189</c:v>
                </c:pt>
                <c:pt idx="58">
                  <c:v>-4835</c:v>
                </c:pt>
                <c:pt idx="59">
                  <c:v>-4758</c:v>
                </c:pt>
                <c:pt idx="60">
                  <c:v>-4733</c:v>
                </c:pt>
                <c:pt idx="61">
                  <c:v>-4407</c:v>
                </c:pt>
                <c:pt idx="62">
                  <c:v>-4319</c:v>
                </c:pt>
                <c:pt idx="63">
                  <c:v>-1799</c:v>
                </c:pt>
                <c:pt idx="64">
                  <c:v>-1649</c:v>
                </c:pt>
                <c:pt idx="65">
                  <c:v>-1122</c:v>
                </c:pt>
                <c:pt idx="66">
                  <c:v>-1081</c:v>
                </c:pt>
                <c:pt idx="67">
                  <c:v>166</c:v>
                </c:pt>
                <c:pt idx="68">
                  <c:v>1185</c:v>
                </c:pt>
                <c:pt idx="69">
                  <c:v>1306</c:v>
                </c:pt>
                <c:pt idx="70">
                  <c:v>1950</c:v>
                </c:pt>
                <c:pt idx="71">
                  <c:v>3298</c:v>
                </c:pt>
                <c:pt idx="72">
                  <c:v>6522</c:v>
                </c:pt>
                <c:pt idx="73">
                  <c:v>7669</c:v>
                </c:pt>
                <c:pt idx="74">
                  <c:v>12765</c:v>
                </c:pt>
                <c:pt idx="75">
                  <c:v>14573</c:v>
                </c:pt>
                <c:pt idx="76">
                  <c:v>23039</c:v>
                </c:pt>
                <c:pt idx="77">
                  <c:v>26640</c:v>
                </c:pt>
                <c:pt idx="78">
                  <c:v>27552</c:v>
                </c:pt>
                <c:pt idx="79">
                  <c:v>29329</c:v>
                </c:pt>
                <c:pt idx="80">
                  <c:v>34645</c:v>
                </c:pt>
                <c:pt idx="81">
                  <c:v>35006</c:v>
                </c:pt>
                <c:pt idx="82">
                  <c:v>36543</c:v>
                </c:pt>
                <c:pt idx="83">
                  <c:v>50771</c:v>
                </c:pt>
                <c:pt idx="84">
                  <c:v>52828</c:v>
                </c:pt>
              </c:numCache>
            </c:numRef>
          </c:val>
          <c:smooth val="0"/>
          <c:extLst>
            <c:ext xmlns:c16="http://schemas.microsoft.com/office/drawing/2014/chart" uri="{C3380CC4-5D6E-409C-BE32-E72D297353CC}">
              <c16:uniqueId val="{00000000-EE0E-4153-A413-39AC4989E056}"/>
            </c:ext>
          </c:extLst>
        </c:ser>
        <c:ser>
          <c:idx val="1"/>
          <c:order val="1"/>
          <c:tx>
            <c:v>с миграцией</c:v>
          </c:tx>
          <c:spPr>
            <a:ln w="28575" cap="rnd">
              <a:solidFill>
                <a:schemeClr val="accent2"/>
              </a:solidFill>
              <a:round/>
            </a:ln>
            <a:effectLst/>
          </c:spPr>
          <c:marker>
            <c:symbol val="none"/>
          </c:marker>
          <c:cat>
            <c:strRef>
              <c:f>Рис2017!$B$2:$B$86</c:f>
              <c:strCache>
                <c:ptCount val="85"/>
                <c:pt idx="0">
                  <c:v>Республика Дагестан</c:v>
                </c:pt>
                <c:pt idx="1">
                  <c:v>Карачаево-Черкесская Республика</c:v>
                </c:pt>
                <c:pt idx="2">
                  <c:v>Алтайский край</c:v>
                </c:pt>
                <c:pt idx="3">
                  <c:v>Республика Ингушетия</c:v>
                </c:pt>
                <c:pt idx="4">
                  <c:v>Кабардино-Балкарская Республика</c:v>
                </c:pt>
                <c:pt idx="5">
                  <c:v>Республика Калмыкия</c:v>
                </c:pt>
                <c:pt idx="6">
                  <c:v>Чеченская Республика</c:v>
                </c:pt>
                <c:pt idx="7">
                  <c:v>Ивановская область</c:v>
                </c:pt>
                <c:pt idx="8">
                  <c:v>Псковская область</c:v>
                </c:pt>
                <c:pt idx="9">
                  <c:v>Тамбовская область</c:v>
                </c:pt>
                <c:pt idx="10">
                  <c:v>Республика Мордовия</c:v>
                </c:pt>
                <c:pt idx="11">
                  <c:v>Республика Адыгея (Адыгея)</c:v>
                </c:pt>
                <c:pt idx="12">
                  <c:v>Чувашская Республика</c:v>
                </c:pt>
                <c:pt idx="13">
                  <c:v>Костромская область</c:v>
                </c:pt>
                <c:pt idx="14">
                  <c:v>Республика Северная Осетия-Алания</c:v>
                </c:pt>
                <c:pt idx="15">
                  <c:v>Саратовская область</c:v>
                </c:pt>
                <c:pt idx="16">
                  <c:v>Брянская область</c:v>
                </c:pt>
                <c:pt idx="17">
                  <c:v>Орловская область</c:v>
                </c:pt>
                <c:pt idx="18">
                  <c:v>Кировская область</c:v>
                </c:pt>
                <c:pt idx="19">
                  <c:v>Курганская область</c:v>
                </c:pt>
                <c:pt idx="20">
                  <c:v>Республика Марий Эл</c:v>
                </c:pt>
                <c:pt idx="21">
                  <c:v>Крым </c:v>
                </c:pt>
                <c:pt idx="22">
                  <c:v>Пензенская область</c:v>
                </c:pt>
                <c:pt idx="23">
                  <c:v>Ульяновская область</c:v>
                </c:pt>
                <c:pt idx="24">
                  <c:v>Смоленская область</c:v>
                </c:pt>
                <c:pt idx="25">
                  <c:v>Республика Алтай</c:v>
                </c:pt>
                <c:pt idx="26">
                  <c:v>Ставропольский край</c:v>
                </c:pt>
                <c:pt idx="27">
                  <c:v>Владимирская область</c:v>
                </c:pt>
                <c:pt idx="28">
                  <c:v>Курская область</c:v>
                </c:pt>
                <c:pt idx="29">
                  <c:v>Оренбургская область</c:v>
                </c:pt>
                <c:pt idx="30">
                  <c:v>Тверская область</c:v>
                </c:pt>
                <c:pt idx="31">
                  <c:v>г. Севастополь</c:v>
                </c:pt>
                <c:pt idx="32">
                  <c:v>Волгоградская область</c:v>
                </c:pt>
                <c:pt idx="33">
                  <c:v>Воронежская область</c:v>
                </c:pt>
                <c:pt idx="34">
                  <c:v>Липецкая область</c:v>
                </c:pt>
                <c:pt idx="35">
                  <c:v>Ростовская область</c:v>
                </c:pt>
                <c:pt idx="36">
                  <c:v>Рязанская область</c:v>
                </c:pt>
                <c:pt idx="37">
                  <c:v>Удмуртская Республика</c:v>
                </c:pt>
                <c:pt idx="38">
                  <c:v>Белгородская область</c:v>
                </c:pt>
                <c:pt idx="39">
                  <c:v>Новгородская область</c:v>
                </c:pt>
                <c:pt idx="40">
                  <c:v>Астраханская область</c:v>
                </c:pt>
                <c:pt idx="41">
                  <c:v>Омская область</c:v>
                </c:pt>
                <c:pt idx="42">
                  <c:v>Краснодарский край</c:v>
                </c:pt>
                <c:pt idx="43">
                  <c:v>Республика Башкортостан</c:v>
                </c:pt>
                <c:pt idx="44">
                  <c:v>Нижегородская область</c:v>
                </c:pt>
                <c:pt idx="45">
                  <c:v>Самарская область</c:v>
                </c:pt>
                <c:pt idx="46">
                  <c:v>Калининградская область</c:v>
                </c:pt>
                <c:pt idx="47">
                  <c:v>Ярославская область</c:v>
                </c:pt>
                <c:pt idx="48">
                  <c:v>Республика Тыва</c:v>
                </c:pt>
                <c:pt idx="49">
                  <c:v>Тульская область</c:v>
                </c:pt>
                <c:pt idx="50">
                  <c:v>Вологодская область</c:v>
                </c:pt>
                <c:pt idx="51">
                  <c:v>Республика Бурятия</c:v>
                </c:pt>
                <c:pt idx="52">
                  <c:v>Челябинская область</c:v>
                </c:pt>
                <c:pt idx="53">
                  <c:v>Новосибирская область</c:v>
                </c:pt>
                <c:pt idx="54">
                  <c:v>Республика Татарстан</c:v>
                </c:pt>
                <c:pt idx="55">
                  <c:v>Кемеровская область</c:v>
                </c:pt>
                <c:pt idx="56">
                  <c:v>Пермский край</c:v>
                </c:pt>
                <c:pt idx="57">
                  <c:v>Республика Хакасия</c:v>
                </c:pt>
                <c:pt idx="58">
                  <c:v>Калужская область</c:v>
                </c:pt>
                <c:pt idx="59">
                  <c:v>Еврейская авт.область</c:v>
                </c:pt>
                <c:pt idx="60">
                  <c:v>Республика Карелия</c:v>
                </c:pt>
                <c:pt idx="61">
                  <c:v>Свердловская область</c:v>
                </c:pt>
                <c:pt idx="62">
                  <c:v>Забайкальский край</c:v>
                </c:pt>
                <c:pt idx="63">
                  <c:v>Амурская область</c:v>
                </c:pt>
                <c:pt idx="64">
                  <c:v>Томская область</c:v>
                </c:pt>
                <c:pt idx="65">
                  <c:v>Приморский край</c:v>
                </c:pt>
                <c:pt idx="66">
                  <c:v>Иркутская область</c:v>
                </c:pt>
                <c:pt idx="67">
                  <c:v>Ленинградская область</c:v>
                </c:pt>
                <c:pt idx="68">
                  <c:v>Архангельская область (без Ненецкого автономного округа)</c:v>
                </c:pt>
                <c:pt idx="69">
                  <c:v>Тюменская область (кроме Ханты-Мансийского автономного округа - Югры и Ямало-Ненецкого автономного округа</c:v>
                </c:pt>
                <c:pt idx="70">
                  <c:v>Красноярский край</c:v>
                </c:pt>
                <c:pt idx="71">
                  <c:v>Хабаровский край</c:v>
                </c:pt>
                <c:pt idx="72">
                  <c:v>Республика Коми</c:v>
                </c:pt>
                <c:pt idx="73">
                  <c:v>Московская область</c:v>
                </c:pt>
                <c:pt idx="74">
                  <c:v>Мурманская область</c:v>
                </c:pt>
                <c:pt idx="75">
                  <c:v>г. Санкт-Петербург</c:v>
                </c:pt>
                <c:pt idx="76">
                  <c:v>Республика Саха (Якутия)</c:v>
                </c:pt>
                <c:pt idx="77">
                  <c:v>Камчатский край</c:v>
                </c:pt>
                <c:pt idx="78">
                  <c:v>Ханты-Мансийский автономный округ - Югра</c:v>
                </c:pt>
                <c:pt idx="79">
                  <c:v>Сахалинская область</c:v>
                </c:pt>
                <c:pt idx="80">
                  <c:v>г. Москва</c:v>
                </c:pt>
                <c:pt idx="81">
                  <c:v>Ненецкий авт.округ</c:v>
                </c:pt>
                <c:pt idx="82">
                  <c:v>Магаданская область</c:v>
                </c:pt>
                <c:pt idx="83">
                  <c:v>Ямало-Ненецкий автономный округ</c:v>
                </c:pt>
                <c:pt idx="84">
                  <c:v>Чукотский авт.округ</c:v>
                </c:pt>
              </c:strCache>
            </c:strRef>
          </c:cat>
          <c:val>
            <c:numRef>
              <c:f>Рис2017!$D$2:$D$86</c:f>
              <c:numCache>
                <c:formatCode>#\ ##0.0</c:formatCode>
                <c:ptCount val="85"/>
                <c:pt idx="0">
                  <c:v>-14829.271141337933</c:v>
                </c:pt>
                <c:pt idx="1">
                  <c:v>-13652.107902898726</c:v>
                </c:pt>
                <c:pt idx="2">
                  <c:v>-14809.047103790879</c:v>
                </c:pt>
                <c:pt idx="3">
                  <c:v>-16872.907397934632</c:v>
                </c:pt>
                <c:pt idx="4">
                  <c:v>-12893.451148923305</c:v>
                </c:pt>
                <c:pt idx="5">
                  <c:v>-8662.2228467898676</c:v>
                </c:pt>
                <c:pt idx="6">
                  <c:v>-15780.691265676509</c:v>
                </c:pt>
                <c:pt idx="7">
                  <c:v>-10543.852049642926</c:v>
                </c:pt>
                <c:pt idx="8">
                  <c:v>-13838.663085568238</c:v>
                </c:pt>
                <c:pt idx="9">
                  <c:v>-11839.688931800672</c:v>
                </c:pt>
                <c:pt idx="10">
                  <c:v>-8878.5843934635777</c:v>
                </c:pt>
                <c:pt idx="11">
                  <c:v>-8424.743837826325</c:v>
                </c:pt>
                <c:pt idx="12">
                  <c:v>-7073.5448203257438</c:v>
                </c:pt>
                <c:pt idx="13">
                  <c:v>-12037.662896179267</c:v>
                </c:pt>
                <c:pt idx="14">
                  <c:v>-14575.799257977134</c:v>
                </c:pt>
                <c:pt idx="15">
                  <c:v>-10838.042482660472</c:v>
                </c:pt>
                <c:pt idx="16">
                  <c:v>-12242.597529223523</c:v>
                </c:pt>
                <c:pt idx="17">
                  <c:v>-8599.9974897997745</c:v>
                </c:pt>
                <c:pt idx="18">
                  <c:v>-11189.834309503625</c:v>
                </c:pt>
                <c:pt idx="19">
                  <c:v>-10413.059859594185</c:v>
                </c:pt>
                <c:pt idx="20">
                  <c:v>-7052.3958027488989</c:v>
                </c:pt>
                <c:pt idx="21">
                  <c:v>-13086.107634686719</c:v>
                </c:pt>
                <c:pt idx="22">
                  <c:v>-7517.4288477030568</c:v>
                </c:pt>
                <c:pt idx="23">
                  <c:v>-9921.1860874633494</c:v>
                </c:pt>
                <c:pt idx="24">
                  <c:v>-7762.1867206371171</c:v>
                </c:pt>
                <c:pt idx="25">
                  <c:v>-12415.731098590415</c:v>
                </c:pt>
                <c:pt idx="26">
                  <c:v>-11513.648831485225</c:v>
                </c:pt>
                <c:pt idx="27">
                  <c:v>-6492.7067687831404</c:v>
                </c:pt>
                <c:pt idx="28">
                  <c:v>-8738.6530873444826</c:v>
                </c:pt>
                <c:pt idx="29">
                  <c:v>-9456.0318266748291</c:v>
                </c:pt>
                <c:pt idx="30">
                  <c:v>-7150.9976175632764</c:v>
                </c:pt>
                <c:pt idx="31">
                  <c:v>-11796.186840516391</c:v>
                </c:pt>
                <c:pt idx="32">
                  <c:v>-8365.4680509459686</c:v>
                </c:pt>
                <c:pt idx="33">
                  <c:v>-10182.789774125275</c:v>
                </c:pt>
                <c:pt idx="34">
                  <c:v>-9093.8659641159502</c:v>
                </c:pt>
                <c:pt idx="35">
                  <c:v>-9019.0047876720819</c:v>
                </c:pt>
                <c:pt idx="36">
                  <c:v>-7980.8738580666322</c:v>
                </c:pt>
                <c:pt idx="37">
                  <c:v>-8646.0863686061311</c:v>
                </c:pt>
                <c:pt idx="38">
                  <c:v>-9403.0399595546223</c:v>
                </c:pt>
                <c:pt idx="39">
                  <c:v>-7500.7618095066173</c:v>
                </c:pt>
                <c:pt idx="40">
                  <c:v>-8858.457707535079</c:v>
                </c:pt>
                <c:pt idx="41">
                  <c:v>-5463.6514181088205</c:v>
                </c:pt>
                <c:pt idx="42">
                  <c:v>-9021.1347785313301</c:v>
                </c:pt>
                <c:pt idx="43">
                  <c:v>-3620.2108530926052</c:v>
                </c:pt>
                <c:pt idx="44">
                  <c:v>-8216.2421423458218</c:v>
                </c:pt>
                <c:pt idx="45">
                  <c:v>-8264.1420602313337</c:v>
                </c:pt>
                <c:pt idx="46">
                  <c:v>-8233.1811527780847</c:v>
                </c:pt>
                <c:pt idx="47">
                  <c:v>-7159.9874110433884</c:v>
                </c:pt>
                <c:pt idx="48">
                  <c:v>-7975.5244889243004</c:v>
                </c:pt>
                <c:pt idx="49">
                  <c:v>-1457.6346386626537</c:v>
                </c:pt>
                <c:pt idx="50">
                  <c:v>-7143.8780404496356</c:v>
                </c:pt>
                <c:pt idx="51">
                  <c:v>-6240.1341401202808</c:v>
                </c:pt>
                <c:pt idx="52">
                  <c:v>-6673.8810728475109</c:v>
                </c:pt>
                <c:pt idx="53">
                  <c:v>-6315.1176366707368</c:v>
                </c:pt>
                <c:pt idx="54">
                  <c:v>-6263.4421394887395</c:v>
                </c:pt>
                <c:pt idx="55">
                  <c:v>-6335.4300144690787</c:v>
                </c:pt>
                <c:pt idx="56">
                  <c:v>-5428.2169403154912</c:v>
                </c:pt>
                <c:pt idx="57">
                  <c:v>-4123.2640269475523</c:v>
                </c:pt>
                <c:pt idx="58">
                  <c:v>-1855.7113454471109</c:v>
                </c:pt>
                <c:pt idx="59">
                  <c:v>-556.7554951435668</c:v>
                </c:pt>
                <c:pt idx="60">
                  <c:v>-3847.6094897452713</c:v>
                </c:pt>
                <c:pt idx="61">
                  <c:v>-4031.6397646175246</c:v>
                </c:pt>
                <c:pt idx="62">
                  <c:v>-3972.9076022039008</c:v>
                </c:pt>
                <c:pt idx="63">
                  <c:v>-2259.1144820302361</c:v>
                </c:pt>
                <c:pt idx="64">
                  <c:v>-1755.6698133834579</c:v>
                </c:pt>
                <c:pt idx="65">
                  <c:v>-686.2490886849555</c:v>
                </c:pt>
                <c:pt idx="66">
                  <c:v>-870.86853425752633</c:v>
                </c:pt>
                <c:pt idx="67">
                  <c:v>10559.172064545382</c:v>
                </c:pt>
                <c:pt idx="68">
                  <c:v>1614.372539070202</c:v>
                </c:pt>
                <c:pt idx="69">
                  <c:v>1729.8513349416462</c:v>
                </c:pt>
                <c:pt idx="70">
                  <c:v>1642.8333875493554</c:v>
                </c:pt>
                <c:pt idx="71">
                  <c:v>2665.1474862685936</c:v>
                </c:pt>
                <c:pt idx="72">
                  <c:v>5729.2698254011484</c:v>
                </c:pt>
                <c:pt idx="73">
                  <c:v>19573.75626123992</c:v>
                </c:pt>
                <c:pt idx="74">
                  <c:v>11655.423458841942</c:v>
                </c:pt>
                <c:pt idx="75">
                  <c:v>10107.683738571548</c:v>
                </c:pt>
                <c:pt idx="76">
                  <c:v>19340.189832967706</c:v>
                </c:pt>
                <c:pt idx="77">
                  <c:v>21962.772049145889</c:v>
                </c:pt>
                <c:pt idx="78">
                  <c:v>12366.279367337018</c:v>
                </c:pt>
                <c:pt idx="79">
                  <c:v>27390.099494450609</c:v>
                </c:pt>
                <c:pt idx="80">
                  <c:v>19288.314122363627</c:v>
                </c:pt>
                <c:pt idx="81">
                  <c:v>21932.51747735242</c:v>
                </c:pt>
                <c:pt idx="82">
                  <c:v>32298.85127397938</c:v>
                </c:pt>
                <c:pt idx="83">
                  <c:v>17770.917958315709</c:v>
                </c:pt>
                <c:pt idx="84">
                  <c:v>42409.147301015822</c:v>
                </c:pt>
              </c:numCache>
            </c:numRef>
          </c:val>
          <c:smooth val="1"/>
          <c:extLst>
            <c:ext xmlns:c16="http://schemas.microsoft.com/office/drawing/2014/chart" uri="{C3380CC4-5D6E-409C-BE32-E72D297353CC}">
              <c16:uniqueId val="{00000001-EE0E-4153-A413-39AC4989E056}"/>
            </c:ext>
          </c:extLst>
        </c:ser>
        <c:dLbls>
          <c:showLegendKey val="0"/>
          <c:showVal val="0"/>
          <c:showCatName val="0"/>
          <c:showSerName val="0"/>
          <c:showPercent val="0"/>
          <c:showBubbleSize val="0"/>
        </c:dLbls>
        <c:smooth val="0"/>
        <c:axId val="658626560"/>
        <c:axId val="819397184"/>
      </c:lineChart>
      <c:catAx>
        <c:axId val="658626560"/>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crossAx val="819397184"/>
        <c:crosses val="autoZero"/>
        <c:auto val="1"/>
        <c:lblAlgn val="ctr"/>
        <c:lblOffset val="100"/>
        <c:noMultiLvlLbl val="0"/>
      </c:catAx>
      <c:valAx>
        <c:axId val="819397184"/>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8626560"/>
        <c:crosses val="autoZero"/>
        <c:crossBetween val="between"/>
        <c:majorUnit val="20000"/>
        <c:dispUnits>
          <c:builtInUnit val="thousand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dPt>
            <c:idx val="1"/>
            <c:invertIfNegative val="0"/>
            <c:bubble3D val="0"/>
            <c:spPr>
              <a:solidFill>
                <a:sysClr val="window" lastClr="FFFFFF"/>
              </a:solidFill>
            </c:spPr>
            <c:extLst>
              <c:ext xmlns:c16="http://schemas.microsoft.com/office/drawing/2014/chart" uri="{C3380CC4-5D6E-409C-BE32-E72D297353CC}">
                <c16:uniqueId val="{00000001-5EAC-4B63-976C-3C6F7DE3C619}"/>
              </c:ext>
            </c:extLst>
          </c:dPt>
          <c:dPt>
            <c:idx val="2"/>
            <c:invertIfNegative val="0"/>
            <c:bubble3D val="0"/>
            <c:spPr>
              <a:solidFill>
                <a:sysClr val="window" lastClr="FFFFFF"/>
              </a:solidFill>
            </c:spPr>
            <c:extLst>
              <c:ext xmlns:c16="http://schemas.microsoft.com/office/drawing/2014/chart" uri="{C3380CC4-5D6E-409C-BE32-E72D297353CC}">
                <c16:uniqueId val="{00000003-5EAC-4B63-976C-3C6F7DE3C619}"/>
              </c:ext>
            </c:extLst>
          </c:dPt>
          <c:dPt>
            <c:idx val="3"/>
            <c:invertIfNegative val="0"/>
            <c:bubble3D val="0"/>
            <c:spPr>
              <a:solidFill>
                <a:sysClr val="window" lastClr="FFFFFF"/>
              </a:solidFill>
            </c:spPr>
            <c:extLst>
              <c:ext xmlns:c16="http://schemas.microsoft.com/office/drawing/2014/chart" uri="{C3380CC4-5D6E-409C-BE32-E72D297353CC}">
                <c16:uniqueId val="{00000005-5EAC-4B63-976C-3C6F7DE3C619}"/>
              </c:ext>
            </c:extLst>
          </c:dPt>
          <c:dPt>
            <c:idx val="4"/>
            <c:invertIfNegative val="0"/>
            <c:bubble3D val="0"/>
            <c:spPr>
              <a:solidFill>
                <a:sysClr val="window" lastClr="FFFFFF"/>
              </a:solidFill>
            </c:spPr>
            <c:extLst>
              <c:ext xmlns:c16="http://schemas.microsoft.com/office/drawing/2014/chart" uri="{C3380CC4-5D6E-409C-BE32-E72D297353CC}">
                <c16:uniqueId val="{00000007-5EAC-4B63-976C-3C6F7DE3C619}"/>
              </c:ext>
            </c:extLst>
          </c:dPt>
          <c:dPt>
            <c:idx val="5"/>
            <c:invertIfNegative val="0"/>
            <c:bubble3D val="0"/>
            <c:spPr>
              <a:solidFill>
                <a:sysClr val="window" lastClr="FFFFFF"/>
              </a:solidFill>
            </c:spPr>
            <c:extLst>
              <c:ext xmlns:c16="http://schemas.microsoft.com/office/drawing/2014/chart" uri="{C3380CC4-5D6E-409C-BE32-E72D297353CC}">
                <c16:uniqueId val="{00000009-5EAC-4B63-976C-3C6F7DE3C619}"/>
              </c:ext>
            </c:extLst>
          </c:dPt>
          <c:dLbls>
            <c:dLbl>
              <c:idx val="0"/>
              <c:layout>
                <c:manualLayout>
                  <c:x val="-2.8632478632478631E-3"/>
                  <c:y val="-0.16493786343005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AC-4B63-976C-3C6F7DE3C619}"/>
                </c:ext>
              </c:extLst>
            </c:dLbl>
            <c:dLbl>
              <c:idx val="6"/>
              <c:layout>
                <c:manualLayout>
                  <c:x val="0"/>
                  <c:y val="-0.252891054364060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AC-4B63-976C-3C6F7DE3C619}"/>
                </c:ext>
              </c:extLst>
            </c:dLbl>
            <c:spPr>
              <a:noFill/>
              <a:ln>
                <a:noFill/>
              </a:ln>
              <a:effectLst/>
            </c:spPr>
            <c:txPr>
              <a:bodyPr/>
              <a:lstStyle/>
              <a:p>
                <a:pPr>
                  <a:defRPr sz="1000"/>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'[Рос_Анализ (1).xlsx]Баланс стат расхождения'!$A$97:$A$103</c:f>
              <c:strCache>
                <c:ptCount val="7"/>
                <c:pt idx="0">
                  <c:v>ВВП экономическая инерция</c:v>
                </c:pt>
                <c:pt idx="1">
                  <c:v>потребление домашних хозяйств</c:v>
                </c:pt>
                <c:pt idx="2">
                  <c:v>государственное потребление</c:v>
                </c:pt>
                <c:pt idx="3">
                  <c:v>валовое накопление основного капитала</c:v>
                </c:pt>
                <c:pt idx="4">
                  <c:v>экспорт</c:v>
                </c:pt>
                <c:pt idx="5">
                  <c:v>импорт</c:v>
                </c:pt>
                <c:pt idx="6">
                  <c:v>ВВП использование потенциала</c:v>
                </c:pt>
              </c:strCache>
            </c:strRef>
          </c:cat>
          <c:val>
            <c:numRef>
              <c:f>'[Рос_Анализ (1).xlsx]Баланс стат расхождения'!$B$97:$B$103</c:f>
              <c:numCache>
                <c:formatCode>0.0</c:formatCode>
                <c:ptCount val="7"/>
                <c:pt idx="0">
                  <c:v>1.8</c:v>
                </c:pt>
                <c:pt idx="1">
                  <c:v>1.8</c:v>
                </c:pt>
                <c:pt idx="2">
                  <c:v>2.4</c:v>
                </c:pt>
                <c:pt idx="3">
                  <c:v>2.8</c:v>
                </c:pt>
                <c:pt idx="4">
                  <c:v>3.1</c:v>
                </c:pt>
                <c:pt idx="5">
                  <c:v>3.2</c:v>
                </c:pt>
                <c:pt idx="6">
                  <c:v>3.2</c:v>
                </c:pt>
              </c:numCache>
            </c:numRef>
          </c:val>
          <c:extLst>
            <c:ext xmlns:c16="http://schemas.microsoft.com/office/drawing/2014/chart" uri="{C3380CC4-5D6E-409C-BE32-E72D297353CC}">
              <c16:uniqueId val="{0000000C-5EAC-4B63-976C-3C6F7DE3C619}"/>
            </c:ext>
          </c:extLst>
        </c:ser>
        <c:ser>
          <c:idx val="1"/>
          <c:order val="1"/>
          <c:spPr>
            <a:solidFill>
              <a:schemeClr val="accent3">
                <a:lumMod val="60000"/>
                <a:lumOff val="40000"/>
              </a:schemeClr>
            </a:solidFill>
          </c:spPr>
          <c:invertIfNegative val="0"/>
          <c:dPt>
            <c:idx val="5"/>
            <c:invertIfNegative val="0"/>
            <c:bubble3D val="0"/>
            <c:spPr>
              <a:solidFill>
                <a:srgbClr val="FF0000"/>
              </a:solidFill>
            </c:spPr>
            <c:extLst>
              <c:ext xmlns:c16="http://schemas.microsoft.com/office/drawing/2014/chart" uri="{C3380CC4-5D6E-409C-BE32-E72D297353CC}">
                <c16:uniqueId val="{0000000E-5EAC-4B63-976C-3C6F7DE3C619}"/>
              </c:ext>
            </c:extLst>
          </c:dPt>
          <c:dLbls>
            <c:dLbl>
              <c:idx val="5"/>
              <c:tx>
                <c:rich>
                  <a:bodyPr/>
                  <a:lstStyle/>
                  <a:p>
                    <a:r>
                      <a:rPr lang="ru-RU" sz="1000"/>
                      <a:t>-</a:t>
                    </a:r>
                    <a:r>
                      <a:rPr lang="en-US" sz="1000"/>
                      <a:t>0.2</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5EAC-4B63-976C-3C6F7DE3C619}"/>
                </c:ext>
              </c:extLst>
            </c:dLbl>
            <c:spPr>
              <a:noFill/>
              <a:ln>
                <a:noFill/>
              </a:ln>
              <a:effectLst/>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'[Рос_Анализ (1).xlsx]Баланс стат расхождения'!$A$97:$A$103</c:f>
              <c:strCache>
                <c:ptCount val="7"/>
                <c:pt idx="0">
                  <c:v>ВВП экономическая инерция</c:v>
                </c:pt>
                <c:pt idx="1">
                  <c:v>потребление домашних хозяйств</c:v>
                </c:pt>
                <c:pt idx="2">
                  <c:v>государственное потребление</c:v>
                </c:pt>
                <c:pt idx="3">
                  <c:v>валовое накопление основного капитала</c:v>
                </c:pt>
                <c:pt idx="4">
                  <c:v>экспорт</c:v>
                </c:pt>
                <c:pt idx="5">
                  <c:v>импорт</c:v>
                </c:pt>
                <c:pt idx="6">
                  <c:v>ВВП использование потенциала</c:v>
                </c:pt>
              </c:strCache>
            </c:strRef>
          </c:cat>
          <c:val>
            <c:numRef>
              <c:f>'[Рос_Анализ (1).xlsx]Баланс стат расхождения'!$C$97:$C$103</c:f>
              <c:numCache>
                <c:formatCode>0.0</c:formatCode>
                <c:ptCount val="7"/>
                <c:pt idx="1">
                  <c:v>0.6</c:v>
                </c:pt>
                <c:pt idx="2">
                  <c:v>0.3</c:v>
                </c:pt>
                <c:pt idx="3">
                  <c:v>0.4</c:v>
                </c:pt>
                <c:pt idx="4">
                  <c:v>0.3</c:v>
                </c:pt>
                <c:pt idx="5">
                  <c:v>0.2</c:v>
                </c:pt>
              </c:numCache>
            </c:numRef>
          </c:val>
          <c:extLst>
            <c:ext xmlns:c16="http://schemas.microsoft.com/office/drawing/2014/chart" uri="{C3380CC4-5D6E-409C-BE32-E72D297353CC}">
              <c16:uniqueId val="{0000000F-5EAC-4B63-976C-3C6F7DE3C619}"/>
            </c:ext>
          </c:extLst>
        </c:ser>
        <c:dLbls>
          <c:showLegendKey val="0"/>
          <c:showVal val="0"/>
          <c:showCatName val="0"/>
          <c:showSerName val="0"/>
          <c:showPercent val="0"/>
          <c:showBubbleSize val="0"/>
        </c:dLbls>
        <c:gapWidth val="150"/>
        <c:overlap val="100"/>
        <c:axId val="741213184"/>
        <c:axId val="819398912"/>
      </c:barChart>
      <c:catAx>
        <c:axId val="741213184"/>
        <c:scaling>
          <c:orientation val="minMax"/>
        </c:scaling>
        <c:delete val="0"/>
        <c:axPos val="b"/>
        <c:numFmt formatCode="General" sourceLinked="0"/>
        <c:majorTickMark val="out"/>
        <c:minorTickMark val="none"/>
        <c:tickLblPos val="nextTo"/>
        <c:txPr>
          <a:bodyPr/>
          <a:lstStyle/>
          <a:p>
            <a:pPr>
              <a:defRPr sz="1000"/>
            </a:pPr>
            <a:endParaRPr lang="ru-RU"/>
          </a:p>
        </c:txPr>
        <c:crossAx val="819398912"/>
        <c:crosses val="autoZero"/>
        <c:auto val="1"/>
        <c:lblAlgn val="ctr"/>
        <c:lblOffset val="100"/>
        <c:noMultiLvlLbl val="0"/>
      </c:catAx>
      <c:valAx>
        <c:axId val="819398912"/>
        <c:scaling>
          <c:orientation val="minMax"/>
        </c:scaling>
        <c:delete val="0"/>
        <c:axPos val="l"/>
        <c:numFmt formatCode="0.0" sourceLinked="1"/>
        <c:majorTickMark val="out"/>
        <c:minorTickMark val="none"/>
        <c:tickLblPos val="nextTo"/>
        <c:crossAx val="74121318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Лист10!$A$2</c:f>
              <c:strCache>
                <c:ptCount val="1"/>
                <c:pt idx="0">
                  <c:v>Бытовая техника и электроника</c:v>
                </c:pt>
              </c:strCache>
            </c:strRef>
          </c:tx>
          <c:spPr>
            <a:ln w="28575" cap="rnd">
              <a:solidFill>
                <a:schemeClr val="accent1"/>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Лист10!$B$2:$L$2</c:f>
              <c:numCache>
                <c:formatCode>0.0%</c:formatCode>
                <c:ptCount val="11"/>
                <c:pt idx="0">
                  <c:v>9.1999999999999998E-2</c:v>
                </c:pt>
                <c:pt idx="1">
                  <c:v>0.11600000000000001</c:v>
                </c:pt>
                <c:pt idx="2">
                  <c:v>0.14099999999999999</c:v>
                </c:pt>
                <c:pt idx="3">
                  <c:v>0.23</c:v>
                </c:pt>
                <c:pt idx="4">
                  <c:v>0.23400000000000001</c:v>
                </c:pt>
                <c:pt idx="5">
                  <c:v>0.29799999999999999</c:v>
                </c:pt>
                <c:pt idx="6">
                  <c:v>0.13200000000000001</c:v>
                </c:pt>
                <c:pt idx="7">
                  <c:v>0.28199999999999997</c:v>
                </c:pt>
                <c:pt idx="8">
                  <c:v>0.27</c:v>
                </c:pt>
                <c:pt idx="9">
                  <c:v>0.21299999999999999</c:v>
                </c:pt>
                <c:pt idx="10">
                  <c:v>0.33500000000000002</c:v>
                </c:pt>
              </c:numCache>
            </c:numRef>
          </c:val>
          <c:smooth val="0"/>
          <c:extLst>
            <c:ext xmlns:c16="http://schemas.microsoft.com/office/drawing/2014/chart" uri="{C3380CC4-5D6E-409C-BE32-E72D297353CC}">
              <c16:uniqueId val="{00000000-D1A6-4F34-9F28-DF3AB279CE57}"/>
            </c:ext>
          </c:extLst>
        </c:ser>
        <c:ser>
          <c:idx val="1"/>
          <c:order val="1"/>
          <c:tx>
            <c:strRef>
              <c:f>Лист10!$A$4</c:f>
              <c:strCache>
                <c:ptCount val="1"/>
                <c:pt idx="0">
                  <c:v>Мебель и предметы интерьера</c:v>
                </c:pt>
              </c:strCache>
            </c:strRef>
          </c:tx>
          <c:spPr>
            <a:ln w="28575" cap="rnd">
              <a:solidFill>
                <a:schemeClr val="accent2"/>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Лист10!$B$4:$L$4</c:f>
              <c:numCache>
                <c:formatCode>0.0%</c:formatCode>
                <c:ptCount val="11"/>
                <c:pt idx="0">
                  <c:v>-0.19400000000000001</c:v>
                </c:pt>
                <c:pt idx="1">
                  <c:v>-0.19</c:v>
                </c:pt>
                <c:pt idx="2">
                  <c:v>-0.19600000000000001</c:v>
                </c:pt>
                <c:pt idx="3">
                  <c:v>-8.9999999999999993E-3</c:v>
                </c:pt>
                <c:pt idx="4">
                  <c:v>-2.5000000000000001E-2</c:v>
                </c:pt>
                <c:pt idx="5">
                  <c:v>9.4E-2</c:v>
                </c:pt>
                <c:pt idx="6">
                  <c:v>-3.0000000000000001E-3</c:v>
                </c:pt>
                <c:pt idx="7">
                  <c:v>0.19900000000000001</c:v>
                </c:pt>
                <c:pt idx="8">
                  <c:v>0.114</c:v>
                </c:pt>
                <c:pt idx="9">
                  <c:v>0.13200000000000001</c:v>
                </c:pt>
                <c:pt idx="10">
                  <c:v>0.17</c:v>
                </c:pt>
              </c:numCache>
            </c:numRef>
          </c:val>
          <c:smooth val="0"/>
          <c:extLst>
            <c:ext xmlns:c16="http://schemas.microsoft.com/office/drawing/2014/chart" uri="{C3380CC4-5D6E-409C-BE32-E72D297353CC}">
              <c16:uniqueId val="{00000001-D1A6-4F34-9F28-DF3AB279CE57}"/>
            </c:ext>
          </c:extLst>
        </c:ser>
        <c:ser>
          <c:idx val="2"/>
          <c:order val="2"/>
          <c:tx>
            <c:strRef>
              <c:f>Лист10!$A$5</c:f>
              <c:strCache>
                <c:ptCount val="1"/>
                <c:pt idx="0">
                  <c:v>Одежда, обувь и аксессуары</c:v>
                </c:pt>
              </c:strCache>
            </c:strRef>
          </c:tx>
          <c:spPr>
            <a:ln w="28575" cap="rnd">
              <a:solidFill>
                <a:schemeClr val="accent3"/>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Лист10!$B$5:$L$5</c:f>
              <c:numCache>
                <c:formatCode>0.0%</c:formatCode>
                <c:ptCount val="11"/>
                <c:pt idx="0">
                  <c:v>-0.59699999999999998</c:v>
                </c:pt>
                <c:pt idx="1">
                  <c:v>-0.59199999999999997</c:v>
                </c:pt>
                <c:pt idx="2">
                  <c:v>-0.44700000000000001</c:v>
                </c:pt>
                <c:pt idx="3">
                  <c:v>-0.21</c:v>
                </c:pt>
                <c:pt idx="4">
                  <c:v>-0.115</c:v>
                </c:pt>
                <c:pt idx="5">
                  <c:v>-0.08</c:v>
                </c:pt>
                <c:pt idx="6">
                  <c:v>-7.0999999999999994E-2</c:v>
                </c:pt>
                <c:pt idx="7">
                  <c:v>0.15</c:v>
                </c:pt>
                <c:pt idx="8">
                  <c:v>0.14099999999999999</c:v>
                </c:pt>
                <c:pt idx="9">
                  <c:v>0.106</c:v>
                </c:pt>
                <c:pt idx="10">
                  <c:v>0.128</c:v>
                </c:pt>
              </c:numCache>
            </c:numRef>
          </c:val>
          <c:smooth val="0"/>
          <c:extLst>
            <c:ext xmlns:c16="http://schemas.microsoft.com/office/drawing/2014/chart" uri="{C3380CC4-5D6E-409C-BE32-E72D297353CC}">
              <c16:uniqueId val="{00000002-D1A6-4F34-9F28-DF3AB279CE57}"/>
            </c:ext>
          </c:extLst>
        </c:ser>
        <c:ser>
          <c:idx val="3"/>
          <c:order val="3"/>
          <c:tx>
            <c:strRef>
              <c:f>Лист10!$A$6</c:f>
              <c:strCache>
                <c:ptCount val="1"/>
                <c:pt idx="0">
                  <c:v>Продуктовые магазины</c:v>
                </c:pt>
              </c:strCache>
            </c:strRef>
          </c:tx>
          <c:spPr>
            <a:ln w="28575" cap="rnd">
              <a:solidFill>
                <a:schemeClr val="accent4"/>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Лист10!$B$6:$L$6</c:f>
              <c:numCache>
                <c:formatCode>0.0%</c:formatCode>
                <c:ptCount val="11"/>
                <c:pt idx="0">
                  <c:v>8.5999999999999993E-2</c:v>
                </c:pt>
                <c:pt idx="1">
                  <c:v>8.1000000000000003E-2</c:v>
                </c:pt>
                <c:pt idx="2">
                  <c:v>0.112</c:v>
                </c:pt>
                <c:pt idx="3">
                  <c:v>7.0999999999999994E-2</c:v>
                </c:pt>
                <c:pt idx="4">
                  <c:v>7.3999999999999996E-2</c:v>
                </c:pt>
                <c:pt idx="5">
                  <c:v>6.2E-2</c:v>
                </c:pt>
                <c:pt idx="6">
                  <c:v>8.1000000000000003E-2</c:v>
                </c:pt>
                <c:pt idx="7">
                  <c:v>0.14299999999999999</c:v>
                </c:pt>
                <c:pt idx="8">
                  <c:v>6.5000000000000002E-2</c:v>
                </c:pt>
                <c:pt idx="9">
                  <c:v>6.0999999999999999E-2</c:v>
                </c:pt>
                <c:pt idx="10">
                  <c:v>8.7999999999999995E-2</c:v>
                </c:pt>
              </c:numCache>
            </c:numRef>
          </c:val>
          <c:smooth val="0"/>
          <c:extLst>
            <c:ext xmlns:c16="http://schemas.microsoft.com/office/drawing/2014/chart" uri="{C3380CC4-5D6E-409C-BE32-E72D297353CC}">
              <c16:uniqueId val="{00000003-D1A6-4F34-9F28-DF3AB279CE57}"/>
            </c:ext>
          </c:extLst>
        </c:ser>
        <c:ser>
          <c:idx val="4"/>
          <c:order val="4"/>
          <c:tx>
            <c:strRef>
              <c:f>Лист10!$A$7</c:f>
              <c:strCache>
                <c:ptCount val="1"/>
                <c:pt idx="0">
                  <c:v>Хобби и увлечения</c:v>
                </c:pt>
              </c:strCache>
            </c:strRef>
          </c:tx>
          <c:spPr>
            <a:ln w="28575" cap="rnd">
              <a:solidFill>
                <a:schemeClr val="accent5"/>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Лист10!$B$7:$L$7</c:f>
              <c:numCache>
                <c:formatCode>0.0%</c:formatCode>
                <c:ptCount val="11"/>
                <c:pt idx="0">
                  <c:v>-4.3999999999999997E-2</c:v>
                </c:pt>
                <c:pt idx="1">
                  <c:v>-5.6000000000000001E-2</c:v>
                </c:pt>
                <c:pt idx="2">
                  <c:v>-0.11799999999999999</c:v>
                </c:pt>
                <c:pt idx="3">
                  <c:v>0.193</c:v>
                </c:pt>
                <c:pt idx="4">
                  <c:v>9.5000000000000001E-2</c:v>
                </c:pt>
                <c:pt idx="5">
                  <c:v>0.107</c:v>
                </c:pt>
                <c:pt idx="6">
                  <c:v>-4.3999999999999997E-2</c:v>
                </c:pt>
                <c:pt idx="7">
                  <c:v>0.255</c:v>
                </c:pt>
                <c:pt idx="8">
                  <c:v>0.1</c:v>
                </c:pt>
                <c:pt idx="9">
                  <c:v>3.4000000000000002E-2</c:v>
                </c:pt>
                <c:pt idx="10">
                  <c:v>2.3E-2</c:v>
                </c:pt>
              </c:numCache>
            </c:numRef>
          </c:val>
          <c:smooth val="0"/>
          <c:extLst>
            <c:ext xmlns:c16="http://schemas.microsoft.com/office/drawing/2014/chart" uri="{C3380CC4-5D6E-409C-BE32-E72D297353CC}">
              <c16:uniqueId val="{00000004-D1A6-4F34-9F28-DF3AB279CE57}"/>
            </c:ext>
          </c:extLst>
        </c:ser>
        <c:ser>
          <c:idx val="5"/>
          <c:order val="5"/>
          <c:tx>
            <c:strRef>
              <c:f>Лист10!$A$8</c:f>
              <c:strCache>
                <c:ptCount val="1"/>
                <c:pt idx="0">
                  <c:v>Товары для строительства и ремонта/DIY</c:v>
                </c:pt>
              </c:strCache>
            </c:strRef>
          </c:tx>
          <c:spPr>
            <a:ln w="28575" cap="rnd">
              <a:solidFill>
                <a:schemeClr val="accent6"/>
              </a:solidFill>
              <a:round/>
            </a:ln>
            <a:effectLst>
              <a:outerShdw blurRad="50800" dist="38100" dir="2700000" algn="tl" rotWithShape="0">
                <a:prstClr val="black">
                  <a:alpha val="40000"/>
                </a:prstClr>
              </a:outerShdw>
            </a:effectLst>
          </c:spPr>
          <c:marker>
            <c:symbol val="none"/>
          </c:marker>
          <c:cat>
            <c:numRef>
              <c:f>Лист10!$B$1:$L$1</c:f>
              <c:numCache>
                <c:formatCode>m/d/yyyy</c:formatCode>
                <c:ptCount val="11"/>
                <c:pt idx="0">
                  <c:v>43962</c:v>
                </c:pt>
                <c:pt idx="1">
                  <c:v>43969</c:v>
                </c:pt>
                <c:pt idx="2">
                  <c:v>43976</c:v>
                </c:pt>
                <c:pt idx="3">
                  <c:v>43983</c:v>
                </c:pt>
                <c:pt idx="4">
                  <c:v>43990</c:v>
                </c:pt>
                <c:pt idx="5">
                  <c:v>43997</c:v>
                </c:pt>
                <c:pt idx="6">
                  <c:v>44004</c:v>
                </c:pt>
                <c:pt idx="7">
                  <c:v>44011</c:v>
                </c:pt>
                <c:pt idx="8">
                  <c:v>44018</c:v>
                </c:pt>
                <c:pt idx="9">
                  <c:v>44025</c:v>
                </c:pt>
                <c:pt idx="10">
                  <c:v>44032</c:v>
                </c:pt>
              </c:numCache>
            </c:numRef>
          </c:cat>
          <c:val>
            <c:numRef>
              <c:f>Лист10!$B$8:$L$8</c:f>
              <c:numCache>
                <c:formatCode>0.0%</c:formatCode>
                <c:ptCount val="11"/>
                <c:pt idx="0">
                  <c:v>-0.115</c:v>
                </c:pt>
                <c:pt idx="1">
                  <c:v>-8.6999999999999994E-2</c:v>
                </c:pt>
                <c:pt idx="2">
                  <c:v>-5.2999999999999999E-2</c:v>
                </c:pt>
                <c:pt idx="3">
                  <c:v>-1E-3</c:v>
                </c:pt>
                <c:pt idx="4">
                  <c:v>0.02</c:v>
                </c:pt>
                <c:pt idx="5">
                  <c:v>3.5000000000000003E-2</c:v>
                </c:pt>
                <c:pt idx="6">
                  <c:v>4.5999999999999999E-2</c:v>
                </c:pt>
                <c:pt idx="7">
                  <c:v>5.6000000000000001E-2</c:v>
                </c:pt>
                <c:pt idx="8">
                  <c:v>6.5000000000000002E-2</c:v>
                </c:pt>
                <c:pt idx="9">
                  <c:v>6.8000000000000005E-2</c:v>
                </c:pt>
                <c:pt idx="10">
                  <c:v>7.1999999999999995E-2</c:v>
                </c:pt>
              </c:numCache>
            </c:numRef>
          </c:val>
          <c:smooth val="0"/>
          <c:extLst>
            <c:ext xmlns:c16="http://schemas.microsoft.com/office/drawing/2014/chart" uri="{C3380CC4-5D6E-409C-BE32-E72D297353CC}">
              <c16:uniqueId val="{00000005-D1A6-4F34-9F28-DF3AB279CE57}"/>
            </c:ext>
          </c:extLst>
        </c:ser>
        <c:dLbls>
          <c:showLegendKey val="0"/>
          <c:showVal val="0"/>
          <c:showCatName val="0"/>
          <c:showSerName val="0"/>
          <c:showPercent val="0"/>
          <c:showBubbleSize val="0"/>
        </c:dLbls>
        <c:smooth val="0"/>
        <c:axId val="583485952"/>
        <c:axId val="750871680"/>
      </c:lineChart>
      <c:dateAx>
        <c:axId val="583485952"/>
        <c:scaling>
          <c:orientation val="minMax"/>
        </c:scaling>
        <c:delete val="0"/>
        <c:axPos val="b"/>
        <c:majorGridlines>
          <c:spPr>
            <a:ln w="9525" cap="flat" cmpd="sng" algn="ctr">
              <a:solidFill>
                <a:schemeClr val="tx1">
                  <a:lumMod val="15000"/>
                  <a:lumOff val="85000"/>
                </a:schemeClr>
              </a:solidFill>
              <a:round/>
            </a:ln>
            <a:effectLst/>
          </c:spPr>
        </c:majorGridlines>
        <c:numFmt formatCode="m/d/yy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750871680"/>
        <c:crosses val="autoZero"/>
        <c:auto val="1"/>
        <c:lblOffset val="100"/>
        <c:baseTimeUnit val="days"/>
      </c:dateAx>
      <c:valAx>
        <c:axId val="750871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58348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a:outerShdw blurRad="50800" dist="38100" dir="2700000" algn="t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0.95171192093658996</c:v>
                </c:pt>
                <c:pt idx="1">
                  <c:v>0.78364052184955701</c:v>
                </c:pt>
                <c:pt idx="2">
                  <c:v>0.73185904144835601</c:v>
                </c:pt>
                <c:pt idx="3">
                  <c:v>0.70487960282217998</c:v>
                </c:pt>
                <c:pt idx="4">
                  <c:v>0.68566202885780603</c:v>
                </c:pt>
                <c:pt idx="5">
                  <c:v>0.67827182672330499</c:v>
                </c:pt>
                <c:pt idx="6">
                  <c:v>0.682102676121629</c:v>
                </c:pt>
                <c:pt idx="7">
                  <c:v>0.68205603119170399</c:v>
                </c:pt>
                <c:pt idx="8">
                  <c:v>0.68157416433905404</c:v>
                </c:pt>
                <c:pt idx="9">
                  <c:v>0.67599883759554003</c:v>
                </c:pt>
              </c:numCache>
            </c:numRef>
          </c:val>
          <c:extLst>
            <c:ext xmlns:c16="http://schemas.microsoft.com/office/drawing/2014/chart" uri="{C3380CC4-5D6E-409C-BE32-E72D297353CC}">
              <c16:uniqueId val="{00000000-AE73-6E4E-AB2E-84224AF45977}"/>
            </c:ext>
          </c:extLst>
        </c:ser>
        <c:dLbls>
          <c:showLegendKey val="0"/>
          <c:showVal val="0"/>
          <c:showCatName val="0"/>
          <c:showSerName val="0"/>
          <c:showPercent val="0"/>
          <c:showBubbleSize val="0"/>
        </c:dLbls>
        <c:gapWidth val="219"/>
        <c:overlap val="-27"/>
        <c:axId val="521880064"/>
        <c:axId val="750873408"/>
      </c:barChart>
      <c:catAx>
        <c:axId val="52188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750873408"/>
        <c:crosses val="autoZero"/>
        <c:auto val="1"/>
        <c:lblAlgn val="ctr"/>
        <c:lblOffset val="100"/>
        <c:noMultiLvlLbl val="0"/>
      </c:catAx>
      <c:valAx>
        <c:axId val="75087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521880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a:outerShdw blurRad="50800" dist="38100" dir="2700000" algn="t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Лист4!$G$420:$P$420</c:f>
              <c:numCache>
                <c:formatCode>General</c:formatCode>
                <c:ptCount val="10"/>
                <c:pt idx="0">
                  <c:v>0.99818826295127216</c:v>
                </c:pt>
                <c:pt idx="1">
                  <c:v>0.99275305180508866</c:v>
                </c:pt>
                <c:pt idx="2">
                  <c:v>0.98369436656144937</c:v>
                </c:pt>
                <c:pt idx="3">
                  <c:v>0.97101220722035442</c:v>
                </c:pt>
                <c:pt idx="4">
                  <c:v>0.9547065737818039</c:v>
                </c:pt>
                <c:pt idx="5">
                  <c:v>0.93477746624579761</c:v>
                </c:pt>
                <c:pt idx="6">
                  <c:v>0.91122488461233564</c:v>
                </c:pt>
                <c:pt idx="7">
                  <c:v>0.88404882888141789</c:v>
                </c:pt>
                <c:pt idx="8">
                  <c:v>0.85324929905304447</c:v>
                </c:pt>
                <c:pt idx="9">
                  <c:v>0.8188262951272155</c:v>
                </c:pt>
              </c:numCache>
            </c:numRef>
          </c:val>
          <c:extLst>
            <c:ext xmlns:c16="http://schemas.microsoft.com/office/drawing/2014/chart" uri="{C3380CC4-5D6E-409C-BE32-E72D297353CC}">
              <c16:uniqueId val="{00000000-FD28-45C8-9792-C8B0FD253AA9}"/>
            </c:ext>
          </c:extLst>
        </c:ser>
        <c:ser>
          <c:idx val="1"/>
          <c:order val="1"/>
          <c:spPr>
            <a:solidFill>
              <a:schemeClr val="accent2"/>
            </a:solidFill>
            <a:ln>
              <a:noFill/>
            </a:ln>
            <a:effectLst>
              <a:outerShdw blurRad="50800" dist="38100" dir="2700000" algn="tl" rotWithShape="0">
                <a:prstClr val="black">
                  <a:alpha val="40000"/>
                </a:prstClr>
              </a:outerShdw>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Лист4!$G$421:$P$421</c:f>
              <c:numCache>
                <c:formatCode>General</c:formatCode>
                <c:ptCount val="10"/>
                <c:pt idx="0">
                  <c:v>1.8117370487278454E-3</c:v>
                </c:pt>
                <c:pt idx="1">
                  <c:v>7.2469481949113818E-3</c:v>
                </c:pt>
                <c:pt idx="2">
                  <c:v>1.6305633438550609E-2</c:v>
                </c:pt>
                <c:pt idx="3">
                  <c:v>2.898779277964553E-2</c:v>
                </c:pt>
                <c:pt idx="4">
                  <c:v>4.5293426218196133E-2</c:v>
                </c:pt>
                <c:pt idx="5">
                  <c:v>6.5222533754202436E-2</c:v>
                </c:pt>
                <c:pt idx="6">
                  <c:v>8.8775115387664416E-2</c:v>
                </c:pt>
                <c:pt idx="7">
                  <c:v>0.11595117111858211</c:v>
                </c:pt>
                <c:pt idx="8">
                  <c:v>0.14675070094695547</c:v>
                </c:pt>
                <c:pt idx="9">
                  <c:v>0.1811737048727845</c:v>
                </c:pt>
              </c:numCache>
            </c:numRef>
          </c:val>
          <c:extLst>
            <c:ext xmlns:c16="http://schemas.microsoft.com/office/drawing/2014/chart" uri="{C3380CC4-5D6E-409C-BE32-E72D297353CC}">
              <c16:uniqueId val="{00000001-FD28-45C8-9792-C8B0FD253AA9}"/>
            </c:ext>
          </c:extLst>
        </c:ser>
        <c:dLbls>
          <c:showLegendKey val="0"/>
          <c:showVal val="0"/>
          <c:showCatName val="0"/>
          <c:showSerName val="0"/>
          <c:showPercent val="0"/>
          <c:showBubbleSize val="0"/>
        </c:dLbls>
        <c:gapWidth val="150"/>
        <c:overlap val="100"/>
        <c:axId val="583485440"/>
        <c:axId val="750876288"/>
      </c:barChart>
      <c:catAx>
        <c:axId val="583485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crossAx val="750876288"/>
        <c:crosses val="autoZero"/>
        <c:auto val="1"/>
        <c:lblAlgn val="ctr"/>
        <c:lblOffset val="100"/>
        <c:noMultiLvlLbl val="0"/>
      </c:catAx>
      <c:valAx>
        <c:axId val="75087628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crossAx val="583485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70C0"/>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'5.4'!$D$41:$M$41</c:f>
              <c:numCache>
                <c:formatCode>0.0%</c:formatCode>
                <c:ptCount val="10"/>
                <c:pt idx="0">
                  <c:v>0.27500000000000002</c:v>
                </c:pt>
                <c:pt idx="1">
                  <c:v>0.16900000000000001</c:v>
                </c:pt>
                <c:pt idx="2">
                  <c:v>0.115</c:v>
                </c:pt>
                <c:pt idx="3">
                  <c:v>9.4E-2</c:v>
                </c:pt>
                <c:pt idx="4">
                  <c:v>8.6999999999999994E-2</c:v>
                </c:pt>
                <c:pt idx="5">
                  <c:v>0.08</c:v>
                </c:pt>
                <c:pt idx="6">
                  <c:v>6.7000000000000004E-2</c:v>
                </c:pt>
                <c:pt idx="7">
                  <c:v>0.05</c:v>
                </c:pt>
                <c:pt idx="8">
                  <c:v>3.5999999999999997E-2</c:v>
                </c:pt>
                <c:pt idx="9">
                  <c:v>2.7E-2</c:v>
                </c:pt>
              </c:numCache>
            </c:numRef>
          </c:val>
          <c:extLst>
            <c:ext xmlns:c16="http://schemas.microsoft.com/office/drawing/2014/chart" uri="{C3380CC4-5D6E-409C-BE32-E72D297353CC}">
              <c16:uniqueId val="{00000000-6A83-4F4A-8497-27293B9D3CFA}"/>
            </c:ext>
          </c:extLst>
        </c:ser>
        <c:dLbls>
          <c:showLegendKey val="0"/>
          <c:showVal val="0"/>
          <c:showCatName val="0"/>
          <c:showSerName val="0"/>
          <c:showPercent val="0"/>
          <c:showBubbleSize val="0"/>
        </c:dLbls>
        <c:gapWidth val="219"/>
        <c:overlap val="-27"/>
        <c:axId val="584016896"/>
        <c:axId val="750878016"/>
      </c:barChart>
      <c:catAx>
        <c:axId val="58401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crossAx val="750878016"/>
        <c:crosses val="autoZero"/>
        <c:auto val="1"/>
        <c:lblAlgn val="ctr"/>
        <c:lblOffset val="100"/>
        <c:noMultiLvlLbl val="0"/>
      </c:catAx>
      <c:valAx>
        <c:axId val="750878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ru-RU"/>
          </a:p>
        </c:txPr>
        <c:crossAx val="58401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70C0"/>
            </a:solidFill>
            <a:ln>
              <a:noFill/>
            </a:ln>
            <a:effectLst>
              <a:outerShdw blurRad="50800" dist="38100" dir="2700000" algn="tl" rotWithShape="0">
                <a:prstClr val="black">
                  <a:alpha val="40000"/>
                </a:prstClr>
              </a:outerShdw>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'[Таблица 3.3 (1).xlsx]3.3'!$T$90:$T$99</c:f>
              <c:numCache>
                <c:formatCode>General</c:formatCode>
                <c:ptCount val="10"/>
                <c:pt idx="0">
                  <c:v>0.174250640694121</c:v>
                </c:pt>
                <c:pt idx="1">
                  <c:v>0.14623684257677</c:v>
                </c:pt>
                <c:pt idx="2">
                  <c:v>0.120054917940438</c:v>
                </c:pt>
                <c:pt idx="3">
                  <c:v>0.108192290534247</c:v>
                </c:pt>
                <c:pt idx="4">
                  <c:v>0.100389229839962</c:v>
                </c:pt>
                <c:pt idx="5">
                  <c:v>9.4410146882107096E-2</c:v>
                </c:pt>
                <c:pt idx="6">
                  <c:v>8.8174512961623902E-2</c:v>
                </c:pt>
                <c:pt idx="7">
                  <c:v>6.8288047695156201E-2</c:v>
                </c:pt>
                <c:pt idx="8">
                  <c:v>5.5844536433243101E-2</c:v>
                </c:pt>
                <c:pt idx="9">
                  <c:v>4.41588344423312E-2</c:v>
                </c:pt>
              </c:numCache>
            </c:numRef>
          </c:val>
          <c:extLst>
            <c:ext xmlns:c16="http://schemas.microsoft.com/office/drawing/2014/chart" uri="{C3380CC4-5D6E-409C-BE32-E72D297353CC}">
              <c16:uniqueId val="{00000000-0597-4384-84F9-622736047C40}"/>
            </c:ext>
          </c:extLst>
        </c:ser>
        <c:dLbls>
          <c:showLegendKey val="0"/>
          <c:showVal val="0"/>
          <c:showCatName val="0"/>
          <c:showSerName val="0"/>
          <c:showPercent val="0"/>
          <c:showBubbleSize val="0"/>
        </c:dLbls>
        <c:gapWidth val="219"/>
        <c:overlap val="-27"/>
        <c:axId val="521881600"/>
        <c:axId val="751125632"/>
      </c:barChart>
      <c:catAx>
        <c:axId val="52188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751125632"/>
        <c:crosses val="autoZero"/>
        <c:auto val="1"/>
        <c:lblAlgn val="ctr"/>
        <c:lblOffset val="100"/>
        <c:noMultiLvlLbl val="0"/>
      </c:catAx>
      <c:valAx>
        <c:axId val="751125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521881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Всего</c:v>
                </c:pt>
              </c:strCache>
            </c:strRef>
          </c:tx>
          <c:spPr>
            <a:solidFill>
              <a:schemeClr val="accent1"/>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Лист1!$B$2:$B$10</c:f>
              <c:numCache>
                <c:formatCode>General</c:formatCode>
                <c:ptCount val="9"/>
                <c:pt idx="0">
                  <c:v>4.186999533106972E-3</c:v>
                </c:pt>
                <c:pt idx="1">
                  <c:v>3.5705454481724797E-3</c:v>
                </c:pt>
                <c:pt idx="2">
                  <c:v>2.64900592437467E-3</c:v>
                </c:pt>
                <c:pt idx="3">
                  <c:v>3.9906546073777971E-3</c:v>
                </c:pt>
                <c:pt idx="4">
                  <c:v>3.0720802731882824E-3</c:v>
                </c:pt>
                <c:pt idx="5">
                  <c:v>2.3430152799295278E-3</c:v>
                </c:pt>
                <c:pt idx="6">
                  <c:v>3.4917696577987378E-3</c:v>
                </c:pt>
                <c:pt idx="7">
                  <c:v>2.851523972276615E-3</c:v>
                </c:pt>
                <c:pt idx="8">
                  <c:v>2.1680505115349025E-3</c:v>
                </c:pt>
              </c:numCache>
            </c:numRef>
          </c:val>
          <c:extLst>
            <c:ext xmlns:c16="http://schemas.microsoft.com/office/drawing/2014/chart" uri="{C3380CC4-5D6E-409C-BE32-E72D297353CC}">
              <c16:uniqueId val="{00000000-6837-406D-8FFC-27211A1DCA30}"/>
            </c:ext>
          </c:extLst>
        </c:ser>
        <c:dLbls>
          <c:showLegendKey val="0"/>
          <c:showVal val="0"/>
          <c:showCatName val="0"/>
          <c:showSerName val="0"/>
          <c:showPercent val="0"/>
          <c:showBubbleSize val="0"/>
        </c:dLbls>
        <c:gapWidth val="150"/>
        <c:axId val="633153024"/>
        <c:axId val="751127360"/>
      </c:barChart>
      <c:barChart>
        <c:barDir val="col"/>
        <c:grouping val="stacked"/>
        <c:varyColors val="0"/>
        <c:ser>
          <c:idx val="1"/>
          <c:order val="1"/>
          <c:tx>
            <c:strRef>
              <c:f>Лист1!$C$1</c:f>
              <c:strCache>
                <c:ptCount val="1"/>
                <c:pt idx="0">
                  <c:v>Вклад Потребления домашних хозяйств</c:v>
                </c:pt>
              </c:strCache>
            </c:strRef>
          </c:tx>
          <c:spPr>
            <a:solidFill>
              <a:schemeClr val="accent2"/>
            </a:solidFill>
            <a:ln>
              <a:noFill/>
            </a:ln>
            <a:effectLst>
              <a:outerShdw blurRad="50800" dist="38100" dir="2700000" algn="tl" rotWithShape="0">
                <a:prstClr val="black">
                  <a:alpha val="40000"/>
                </a:prstClr>
              </a:outerShdw>
            </a:effectLst>
          </c:spPr>
          <c:invertIfNegative val="0"/>
          <c:cat>
            <c:numRef>
              <c:f>Лист1!$A$2:$A$10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Лист1!$C$2:$C$10</c:f>
              <c:numCache>
                <c:formatCode>General</c:formatCode>
                <c:ptCount val="9"/>
                <c:pt idx="0">
                  <c:v>4.186999533106972E-3</c:v>
                </c:pt>
                <c:pt idx="1">
                  <c:v>1.0427656690648046E-3</c:v>
                </c:pt>
                <c:pt idx="2">
                  <c:v>1.1285675968177866E-3</c:v>
                </c:pt>
                <c:pt idx="3">
                  <c:v>2.6239259671656523E-3</c:v>
                </c:pt>
                <c:pt idx="4">
                  <c:v>1.0960433517837043E-3</c:v>
                </c:pt>
                <c:pt idx="5">
                  <c:v>9.6519303237929677E-4</c:v>
                </c:pt>
                <c:pt idx="6">
                  <c:v>2.3938617952041774E-3</c:v>
                </c:pt>
                <c:pt idx="7">
                  <c:v>9.9691784578315179E-4</c:v>
                </c:pt>
                <c:pt idx="8">
                  <c:v>8.9815702381801366E-4</c:v>
                </c:pt>
              </c:numCache>
            </c:numRef>
          </c:val>
          <c:extLst>
            <c:ext xmlns:c16="http://schemas.microsoft.com/office/drawing/2014/chart" uri="{C3380CC4-5D6E-409C-BE32-E72D297353CC}">
              <c16:uniqueId val="{00000001-6837-406D-8FFC-27211A1DCA30}"/>
            </c:ext>
          </c:extLst>
        </c:ser>
        <c:ser>
          <c:idx val="2"/>
          <c:order val="2"/>
          <c:tx>
            <c:strRef>
              <c:f>Лист1!$D$1</c:f>
              <c:strCache>
                <c:ptCount val="1"/>
                <c:pt idx="0">
                  <c:v>Вклад Инвестиций</c:v>
                </c:pt>
              </c:strCache>
            </c:strRef>
          </c:tx>
          <c:spPr>
            <a:solidFill>
              <a:schemeClr val="accent3"/>
            </a:solidFill>
            <a:ln>
              <a:noFill/>
            </a:ln>
            <a:effectLst>
              <a:outerShdw blurRad="50800" dist="38100" dir="2700000" algn="tl" rotWithShape="0">
                <a:prstClr val="black">
                  <a:alpha val="40000"/>
                </a:prstClr>
              </a:outerShdw>
            </a:effectLst>
          </c:spPr>
          <c:invertIfNegative val="0"/>
          <c:cat>
            <c:numRef>
              <c:f>Лист1!$A$2:$A$10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Лист1!$D$2:$D$10</c:f>
              <c:numCache>
                <c:formatCode>General</c:formatCode>
                <c:ptCount val="9"/>
                <c:pt idx="0">
                  <c:v>0</c:v>
                </c:pt>
                <c:pt idx="1">
                  <c:v>1.2945552538898841E-3</c:v>
                </c:pt>
                <c:pt idx="2">
                  <c:v>7.0367679701321961E-4</c:v>
                </c:pt>
                <c:pt idx="3">
                  <c:v>6.0569351693828821E-4</c:v>
                </c:pt>
                <c:pt idx="4">
                  <c:v>9.4889750704552078E-4</c:v>
                </c:pt>
                <c:pt idx="5">
                  <c:v>6.2488315117592563E-4</c:v>
                </c:pt>
                <c:pt idx="6">
                  <c:v>4.9022354645056332E-4</c:v>
                </c:pt>
                <c:pt idx="7">
                  <c:v>8.8356103414088949E-4</c:v>
                </c:pt>
                <c:pt idx="8">
                  <c:v>5.7675397992906774E-4</c:v>
                </c:pt>
              </c:numCache>
            </c:numRef>
          </c:val>
          <c:extLst>
            <c:ext xmlns:c16="http://schemas.microsoft.com/office/drawing/2014/chart" uri="{C3380CC4-5D6E-409C-BE32-E72D297353CC}">
              <c16:uniqueId val="{00000002-6837-406D-8FFC-27211A1DCA30}"/>
            </c:ext>
          </c:extLst>
        </c:ser>
        <c:ser>
          <c:idx val="3"/>
          <c:order val="3"/>
          <c:tx>
            <c:strRef>
              <c:f>Лист1!$E$1</c:f>
              <c:strCache>
                <c:ptCount val="1"/>
                <c:pt idx="0">
                  <c:v>Вклад Государственного потребления</c:v>
                </c:pt>
              </c:strCache>
            </c:strRef>
          </c:tx>
          <c:spPr>
            <a:solidFill>
              <a:schemeClr val="accent4"/>
            </a:solidFill>
            <a:ln>
              <a:noFill/>
            </a:ln>
            <a:effectLst>
              <a:outerShdw blurRad="50800" dist="38100" dir="2700000" algn="tl" rotWithShape="0">
                <a:prstClr val="black">
                  <a:alpha val="40000"/>
                </a:prstClr>
              </a:outerShdw>
            </a:effectLst>
          </c:spPr>
          <c:invertIfNegative val="0"/>
          <c:cat>
            <c:numRef>
              <c:f>Лист1!$A$2:$A$10</c:f>
              <c:numCache>
                <c:formatCode>General</c:formatCode>
                <c:ptCount val="9"/>
                <c:pt idx="0">
                  <c:v>2024</c:v>
                </c:pt>
                <c:pt idx="1">
                  <c:v>2025</c:v>
                </c:pt>
                <c:pt idx="2">
                  <c:v>2026</c:v>
                </c:pt>
                <c:pt idx="3">
                  <c:v>2027</c:v>
                </c:pt>
                <c:pt idx="4">
                  <c:v>2028</c:v>
                </c:pt>
                <c:pt idx="5">
                  <c:v>2029</c:v>
                </c:pt>
                <c:pt idx="6">
                  <c:v>2030</c:v>
                </c:pt>
                <c:pt idx="7">
                  <c:v>2031</c:v>
                </c:pt>
                <c:pt idx="8">
                  <c:v>2032</c:v>
                </c:pt>
              </c:numCache>
            </c:numRef>
          </c:cat>
          <c:val>
            <c:numRef>
              <c:f>Лист1!$E$2:$E$10</c:f>
              <c:numCache>
                <c:formatCode>General</c:formatCode>
                <c:ptCount val="9"/>
                <c:pt idx="0">
                  <c:v>0</c:v>
                </c:pt>
                <c:pt idx="1">
                  <c:v>1.2332245252173468E-3</c:v>
                </c:pt>
                <c:pt idx="2">
                  <c:v>8.1676153054344169E-4</c:v>
                </c:pt>
                <c:pt idx="3">
                  <c:v>7.6103512327385658E-4</c:v>
                </c:pt>
                <c:pt idx="4">
                  <c:v>1.0271394143597234E-3</c:v>
                </c:pt>
                <c:pt idx="5">
                  <c:v>7.5293909637497158E-4</c:v>
                </c:pt>
                <c:pt idx="6">
                  <c:v>6.0768431614310892E-4</c:v>
                </c:pt>
                <c:pt idx="7">
                  <c:v>9.7104509235301784E-4</c:v>
                </c:pt>
                <c:pt idx="8">
                  <c:v>6.9313950778870925E-4</c:v>
                </c:pt>
              </c:numCache>
            </c:numRef>
          </c:val>
          <c:extLst>
            <c:ext xmlns:c16="http://schemas.microsoft.com/office/drawing/2014/chart" uri="{C3380CC4-5D6E-409C-BE32-E72D297353CC}">
              <c16:uniqueId val="{00000003-6837-406D-8FFC-27211A1DCA30}"/>
            </c:ext>
          </c:extLst>
        </c:ser>
        <c:dLbls>
          <c:showLegendKey val="0"/>
          <c:showVal val="0"/>
          <c:showCatName val="0"/>
          <c:showSerName val="0"/>
          <c:showPercent val="0"/>
          <c:showBubbleSize val="0"/>
        </c:dLbls>
        <c:gapWidth val="150"/>
        <c:overlap val="100"/>
        <c:axId val="640246272"/>
        <c:axId val="751127936"/>
      </c:barChart>
      <c:catAx>
        <c:axId val="633153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751127360"/>
        <c:crosses val="autoZero"/>
        <c:auto val="1"/>
        <c:lblAlgn val="ctr"/>
        <c:lblOffset val="100"/>
        <c:noMultiLvlLbl val="0"/>
      </c:catAx>
      <c:valAx>
        <c:axId val="751127360"/>
        <c:scaling>
          <c:orientation val="minMax"/>
          <c:max val="4.5000000000000014E-3"/>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633153024"/>
        <c:crosses val="autoZero"/>
        <c:crossBetween val="between"/>
        <c:majorUnit val="1.0000000000000002E-3"/>
      </c:valAx>
      <c:valAx>
        <c:axId val="751127936"/>
        <c:scaling>
          <c:orientation val="minMax"/>
          <c:max val="4.5000000000000014E-3"/>
        </c:scaling>
        <c:delete val="1"/>
        <c:axPos val="r"/>
        <c:numFmt formatCode="General" sourceLinked="1"/>
        <c:majorTickMark val="out"/>
        <c:minorTickMark val="none"/>
        <c:tickLblPos val="nextTo"/>
        <c:crossAx val="640246272"/>
        <c:crosses val="max"/>
        <c:crossBetween val="between"/>
      </c:valAx>
      <c:catAx>
        <c:axId val="640246272"/>
        <c:scaling>
          <c:orientation val="minMax"/>
        </c:scaling>
        <c:delete val="1"/>
        <c:axPos val="b"/>
        <c:numFmt formatCode="General" sourceLinked="1"/>
        <c:majorTickMark val="out"/>
        <c:minorTickMark val="none"/>
        <c:tickLblPos val="nextTo"/>
        <c:crossAx val="751127936"/>
        <c:crosses val="autoZero"/>
        <c:auto val="1"/>
        <c:lblAlgn val="ctr"/>
        <c:lblOffset val="100"/>
        <c:noMultiLvlLbl val="0"/>
      </c:catAx>
      <c:spPr>
        <a:noFill/>
        <a:ln>
          <a:noFill/>
        </a:ln>
        <a:effectLst/>
      </c:spPr>
    </c:plotArea>
    <c:legend>
      <c:legendPos val="b"/>
      <c:legendEntry>
        <c:idx val="0"/>
        <c:delete val="1"/>
      </c:legendEntry>
      <c:layout>
        <c:manualLayout>
          <c:xMode val="edge"/>
          <c:yMode val="edge"/>
          <c:x val="0.12745005832604259"/>
          <c:y val="0.83671916010498693"/>
          <c:w val="0.74509988334791488"/>
          <c:h val="0.151786651668541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a:outerShdw blurRad="50800" dist="38100" dir="2700000" algn="tl" rotWithShape="0">
                <a:prstClr val="black">
                  <a:alpha val="40000"/>
                </a:prstClr>
              </a:outerShdw>
            </a:effectLst>
          </c:spPr>
          <c:marker>
            <c:symbol val="none"/>
          </c:marker>
          <c:dLbls>
            <c:dLbl>
              <c:idx val="0"/>
              <c:layout>
                <c:manualLayout>
                  <c:x val="-5.4506999125109375E-2"/>
                  <c:y val="-3.93864829396325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09-4818-A6B4-77E070336D2A}"/>
                </c:ext>
              </c:extLst>
            </c:dLbl>
            <c:dLbl>
              <c:idx val="2"/>
              <c:delete val="1"/>
              <c:extLst>
                <c:ext xmlns:c15="http://schemas.microsoft.com/office/drawing/2012/chart" uri="{CE6537A1-D6FC-4f65-9D91-7224C49458BB}"/>
                <c:ext xmlns:c16="http://schemas.microsoft.com/office/drawing/2014/chart" uri="{C3380CC4-5D6E-409C-BE32-E72D297353CC}">
                  <c16:uniqueId val="{00000002-0309-4818-A6B4-77E070336D2A}"/>
                </c:ext>
              </c:extLst>
            </c:dLbl>
            <c:dLbl>
              <c:idx val="3"/>
              <c:delete val="1"/>
              <c:extLst>
                <c:ext xmlns:c15="http://schemas.microsoft.com/office/drawing/2012/chart" uri="{CE6537A1-D6FC-4f65-9D91-7224C49458BB}"/>
                <c:ext xmlns:c16="http://schemas.microsoft.com/office/drawing/2014/chart" uri="{C3380CC4-5D6E-409C-BE32-E72D297353CC}">
                  <c16:uniqueId val="{00000003-0309-4818-A6B4-77E070336D2A}"/>
                </c:ext>
              </c:extLst>
            </c:dLbl>
            <c:dLbl>
              <c:idx val="5"/>
              <c:delete val="1"/>
              <c:extLst>
                <c:ext xmlns:c15="http://schemas.microsoft.com/office/drawing/2012/chart" uri="{CE6537A1-D6FC-4f65-9D91-7224C49458BB}"/>
                <c:ext xmlns:c16="http://schemas.microsoft.com/office/drawing/2014/chart" uri="{C3380CC4-5D6E-409C-BE32-E72D297353CC}">
                  <c16:uniqueId val="{00000004-0309-4818-A6B4-77E070336D2A}"/>
                </c:ext>
              </c:extLst>
            </c:dLbl>
            <c:dLbl>
              <c:idx val="6"/>
              <c:delete val="1"/>
              <c:extLst>
                <c:ext xmlns:c15="http://schemas.microsoft.com/office/drawing/2012/chart" uri="{CE6537A1-D6FC-4f65-9D91-7224C49458BB}"/>
                <c:ext xmlns:c16="http://schemas.microsoft.com/office/drawing/2014/chart" uri="{C3380CC4-5D6E-409C-BE32-E72D297353CC}">
                  <c16:uniqueId val="{00000005-0309-4818-A6B4-77E070336D2A}"/>
                </c:ext>
              </c:extLst>
            </c:dLbl>
            <c:dLbl>
              <c:idx val="8"/>
              <c:delete val="1"/>
              <c:extLst>
                <c:ext xmlns:c15="http://schemas.microsoft.com/office/drawing/2012/chart" uri="{CE6537A1-D6FC-4f65-9D91-7224C49458BB}"/>
                <c:ext xmlns:c16="http://schemas.microsoft.com/office/drawing/2014/chart" uri="{C3380CC4-5D6E-409C-BE32-E72D297353CC}">
                  <c16:uniqueId val="{00000006-0309-4818-A6B4-77E070336D2A}"/>
                </c:ext>
              </c:extLst>
            </c:dLbl>
            <c:dLbl>
              <c:idx val="9"/>
              <c:delete val="1"/>
              <c:extLst>
                <c:ext xmlns:c15="http://schemas.microsoft.com/office/drawing/2012/chart" uri="{CE6537A1-D6FC-4f65-9D91-7224C49458BB}"/>
                <c:ext xmlns:c16="http://schemas.microsoft.com/office/drawing/2014/chart" uri="{C3380CC4-5D6E-409C-BE32-E72D297353CC}">
                  <c16:uniqueId val="{00000007-0309-4818-A6B4-77E070336D2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Расчёт!$W$420:$W$429</c:f>
              <c:numCache>
                <c:formatCode>General</c:formatCode>
                <c:ptCount val="10"/>
                <c:pt idx="0">
                  <c:v>2023</c:v>
                </c:pt>
                <c:pt idx="1">
                  <c:v>2024</c:v>
                </c:pt>
                <c:pt idx="2">
                  <c:v>2025</c:v>
                </c:pt>
                <c:pt idx="3">
                  <c:v>2026</c:v>
                </c:pt>
                <c:pt idx="4">
                  <c:v>2027</c:v>
                </c:pt>
                <c:pt idx="5">
                  <c:v>2028</c:v>
                </c:pt>
                <c:pt idx="6">
                  <c:v>2029</c:v>
                </c:pt>
                <c:pt idx="7">
                  <c:v>2030</c:v>
                </c:pt>
                <c:pt idx="8">
                  <c:v>2031</c:v>
                </c:pt>
                <c:pt idx="9">
                  <c:v>2032</c:v>
                </c:pt>
              </c:numCache>
            </c:numRef>
          </c:cat>
          <c:val>
            <c:numRef>
              <c:f>Расчёт!$X$420:$X$429</c:f>
              <c:numCache>
                <c:formatCode>General</c:formatCode>
                <c:ptCount val="10"/>
                <c:pt idx="0">
                  <c:v>0.13200000000000001</c:v>
                </c:pt>
                <c:pt idx="1">
                  <c:v>0.10525476923076922</c:v>
                </c:pt>
                <c:pt idx="2">
                  <c:v>0.10525476923076922</c:v>
                </c:pt>
                <c:pt idx="3">
                  <c:v>0.10525476923076922</c:v>
                </c:pt>
                <c:pt idx="4">
                  <c:v>8.7424615384615378E-2</c:v>
                </c:pt>
                <c:pt idx="5">
                  <c:v>8.7424615384615378E-2</c:v>
                </c:pt>
                <c:pt idx="6">
                  <c:v>8.7424615384615378E-2</c:v>
                </c:pt>
                <c:pt idx="7">
                  <c:v>6.0679384615384607E-2</c:v>
                </c:pt>
                <c:pt idx="8">
                  <c:v>6.0679384615384607E-2</c:v>
                </c:pt>
                <c:pt idx="9">
                  <c:v>6.0679384615384607E-2</c:v>
                </c:pt>
              </c:numCache>
            </c:numRef>
          </c:val>
          <c:smooth val="0"/>
          <c:extLst>
            <c:ext xmlns:c16="http://schemas.microsoft.com/office/drawing/2014/chart" uri="{C3380CC4-5D6E-409C-BE32-E72D297353CC}">
              <c16:uniqueId val="{00000000-0309-4818-A6B4-77E070336D2A}"/>
            </c:ext>
          </c:extLst>
        </c:ser>
        <c:dLbls>
          <c:showLegendKey val="0"/>
          <c:showVal val="0"/>
          <c:showCatName val="0"/>
          <c:showSerName val="0"/>
          <c:showPercent val="0"/>
          <c:showBubbleSize val="0"/>
        </c:dLbls>
        <c:smooth val="0"/>
        <c:axId val="583483392"/>
        <c:axId val="751129664"/>
      </c:lineChart>
      <c:catAx>
        <c:axId val="58348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751129664"/>
        <c:crosses val="autoZero"/>
        <c:auto val="1"/>
        <c:lblAlgn val="ctr"/>
        <c:lblOffset val="100"/>
        <c:noMultiLvlLbl val="0"/>
      </c:catAx>
      <c:valAx>
        <c:axId val="751129664"/>
        <c:scaling>
          <c:orientation val="minMax"/>
          <c:min val="3.000000000000000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ru-RU"/>
          </a:p>
        </c:txPr>
        <c:crossAx val="583483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mj-lt"/>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0.67778</cdr:x>
      <cdr:y>0.73589</cdr:y>
    </cdr:from>
    <cdr:to>
      <cdr:x>0.95972</cdr:x>
      <cdr:y>0.78086</cdr:y>
    </cdr:to>
    <cdr:sp macro="" textlink="">
      <cdr:nvSpPr>
        <cdr:cNvPr id="2" name="Прямоугольник 1"/>
        <cdr:cNvSpPr/>
      </cdr:nvSpPr>
      <cdr:spPr>
        <a:xfrm xmlns:a="http://schemas.openxmlformats.org/drawingml/2006/main">
          <a:off x="3098800" y="4883150"/>
          <a:ext cx="1289050" cy="298450"/>
        </a:xfrm>
        <a:prstGeom xmlns:a="http://schemas.openxmlformats.org/drawingml/2006/main" prst="rect">
          <a:avLst/>
        </a:prstGeom>
        <a:ln xmlns:a="http://schemas.openxmlformats.org/drawingml/2006/main">
          <a:solidFill>
            <a:schemeClr val="tx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a:t>Четвертая группа</a:t>
          </a:r>
        </a:p>
      </cdr:txBody>
    </cdr:sp>
  </cdr:relSizeAnchor>
  <cdr:relSizeAnchor xmlns:cdr="http://schemas.openxmlformats.org/drawingml/2006/chartDrawing">
    <cdr:from>
      <cdr:x>0.64583</cdr:x>
      <cdr:y>0.82392</cdr:y>
    </cdr:from>
    <cdr:to>
      <cdr:x>1</cdr:x>
      <cdr:y>0.86699</cdr:y>
    </cdr:to>
    <cdr:sp macro="" textlink="">
      <cdr:nvSpPr>
        <cdr:cNvPr id="3" name="Прямоугольник 2"/>
        <cdr:cNvSpPr/>
      </cdr:nvSpPr>
      <cdr:spPr>
        <a:xfrm xmlns:a="http://schemas.openxmlformats.org/drawingml/2006/main">
          <a:off x="2952750" y="5467350"/>
          <a:ext cx="1619250" cy="285750"/>
        </a:xfrm>
        <a:prstGeom xmlns:a="http://schemas.openxmlformats.org/drawingml/2006/main" prst="rect">
          <a:avLst/>
        </a:prstGeom>
        <a:ln xmlns:a="http://schemas.openxmlformats.org/drawingml/2006/main">
          <a:solidFill>
            <a:schemeClr val="tx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u-RU"/>
            <a:t>Пятая-десятая группы</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4B243-8BAC-443C-88FF-9111F80D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109</Pages>
  <Words>21924</Words>
  <Characters>124972</Characters>
  <Application>Microsoft Office Word</Application>
  <DocSecurity>0</DocSecurity>
  <Lines>1041</Lines>
  <Paragraphs>293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 Некрасов</dc:creator>
  <cp:lastModifiedBy>Саша Широв</cp:lastModifiedBy>
  <cp:revision>2</cp:revision>
  <cp:lastPrinted>2020-12-31T00:59:00Z</cp:lastPrinted>
  <dcterms:created xsi:type="dcterms:W3CDTF">2021-03-25T13:57:00Z</dcterms:created>
  <dcterms:modified xsi:type="dcterms:W3CDTF">2021-03-25T13:57:00Z</dcterms:modified>
</cp:coreProperties>
</file>